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after="312" w:afterLines="100"/>
        <w:ind w:firstLine="0"/>
        <w:jc w:val="center"/>
        <w:rPr>
          <w:rFonts w:ascii="楷体" w:hAnsi="楷体" w:eastAsia="楷体"/>
          <w:sz w:val="92"/>
          <w:szCs w:val="92"/>
        </w:rPr>
      </w:pPr>
      <w:r>
        <w:rPr>
          <w:rFonts w:ascii="楷体" w:hAnsi="楷体" w:eastAsia="楷体"/>
          <w:sz w:val="92"/>
          <w:szCs w:val="92"/>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5080</wp:posOffset>
                </wp:positionV>
                <wp:extent cx="2036445" cy="883920"/>
                <wp:effectExtent l="5080" t="4445" r="15875" b="6985"/>
                <wp:wrapNone/>
                <wp:docPr id="1" name="文本框 1"/>
                <wp:cNvGraphicFramePr/>
                <a:graphic xmlns:a="http://schemas.openxmlformats.org/drawingml/2006/main">
                  <a:graphicData uri="http://schemas.microsoft.com/office/word/2010/wordprocessingShape">
                    <wps:wsp>
                      <wps:cNvSpPr txBox="1"/>
                      <wps:spPr>
                        <a:xfrm>
                          <a:off x="0" y="0"/>
                          <a:ext cx="2036445" cy="883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华文中宋" w:hAnsi="华文中宋" w:eastAsia="华文中宋"/>
                                <w:b/>
                                <w:sz w:val="30"/>
                                <w:szCs w:val="30"/>
                              </w:rPr>
                            </w:pPr>
                            <w:r>
                              <w:rPr>
                                <w:rFonts w:hint="eastAsia" w:ascii="华文中宋" w:hAnsi="华文中宋" w:eastAsia="华文中宋"/>
                                <w:b/>
                                <w:sz w:val="30"/>
                                <w:szCs w:val="30"/>
                              </w:rPr>
                              <w:t>安徽省高校人文社会科学重点研究基地</w:t>
                            </w:r>
                          </w:p>
                        </w:txbxContent>
                      </wps:txbx>
                      <wps:bodyPr upright="1"/>
                    </wps:wsp>
                  </a:graphicData>
                </a:graphic>
              </wp:anchor>
            </w:drawing>
          </mc:Choice>
          <mc:Fallback>
            <w:pict>
              <v:shape id="_x0000_s1026" o:spid="_x0000_s1026" o:spt="202" type="#_x0000_t202" style="position:absolute;left:0pt;margin-left:-1pt;margin-top:0.4pt;height:69.6pt;width:160.35pt;z-index:251660288;mso-width-relative:page;mso-height-relative:page;" fillcolor="#FFFFFF" filled="t" stroked="t" coordsize="21600,21600" o:gfxdata="UEsDBAoAAAAAAIdO4kAAAAAAAAAAAAAAAAAEAAAAZHJzL1BLAwQUAAAACACHTuJAnkRuZtcAAAAH&#10;AQAADwAAAGRycy9kb3ducmV2LnhtbE2PwU7DMBBE70j8g7VIXFBrp63aNMTpAQkEN1oQvbrxNomw&#10;1yF20/L3LCc4rmb05m25uXgnRhxiF0hDNlUgkOpgO2o0vL89TnIQMRmyxgVCDd8YYVNdX5WmsOFM&#10;Wxx3qREMoVgYDW1KfSFlrFv0Jk5Dj8TZMQzeJD6HRtrBnBnunZwptZTedMQLrenxocX6c3fyGvLF&#10;87iPL/PXj3p5dOt0txqfvgatb28ydQ8i4SX9leFXn9WhYqdDOJGNwmmYzPiVxCwQnM6zfAXiwLWF&#10;UiCrUv73r34AUEsDBBQAAAAIAIdO4kBQNYTJCwIAADYEAAAOAAAAZHJzL2Uyb0RvYy54bWytU0uu&#10;0zAUnSOxB8tzmjTvo76o6ZOglAkCpAcLcG0nseSffN0m3QDsgBET5qyr6+DaLX3fQQdk4Fzbx8f3&#10;nHs9vx2NJlsZQDnb0OmkpERa7oSyXUO/fV29mVECkVnBtLOyoTsJ9Hbx+tV88LWsXO+0kIEgiYV6&#10;8A3tY/R1UQDvpWEwcV5a3GxdMCziNHSFCGxAdqOLqiyvi8EF4YPjEgBXl4dNemQM5xC6tlVcLh3f&#10;GGnjgTVIzSJKgl55oIucbdtKHj+3LchIdENRacwjXoLxOo3FYs7qLjDfK35MgZ2TwhNNhimLl56o&#10;liwysgnqGZVRPDhwbZxwZ4qDkOwIqpiWT7y565mXWQtaDf5kOvw/Wv5p+yUQJbATKLHMYMH3P3/s&#10;f/3Z//5OpsmewUONqDuPuDi+dWOCHtcBF5PqsQ0m/VEPwX00d3cyV46RcFysyovry8srSjjuzWYX&#10;N1V2v7g/7QPED9IZkoKGBixe9pRtP0LEGxH6D5IuA6eVWCmt8yR063c6kC3DQq/yl5LEI49g2pKh&#10;oTdXVcqDYfe22DUYGo8OgO3yfY9OwEPiMn8vEafElgz6QwKZIcFYbVSUIUe9ZOK9FSTuPLps8XHR&#10;lIyRghIt8S2mKCMjU/ocJKrTFkWmEh1KkaI4rkekSeHaiR2WbeOD6nq0NBcuw7GdsjvH1k/9+nCe&#10;Se+f++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kRuZtcAAAAHAQAADwAAAAAAAAABACAAAAAi&#10;AAAAZHJzL2Rvd25yZXYueG1sUEsBAhQAFAAAAAgAh07iQFA1hMkLAgAANgQAAA4AAAAAAAAAAQAg&#10;AAAAJgEAAGRycy9lMm9Eb2MueG1sUEsFBgAAAAAGAAYAWQEAAKMFAAAAAA==&#10;">
                <v:fill on="t" focussize="0,0"/>
                <v:stroke color="#000000" joinstyle="miter"/>
                <v:imagedata o:title=""/>
                <o:lock v:ext="edit" aspectratio="f"/>
                <v:textbox>
                  <w:txbxContent>
                    <w:p>
                      <w:pPr>
                        <w:jc w:val="center"/>
                        <w:rPr>
                          <w:rFonts w:ascii="华文中宋" w:hAnsi="华文中宋" w:eastAsia="华文中宋"/>
                          <w:b/>
                          <w:sz w:val="30"/>
                          <w:szCs w:val="30"/>
                        </w:rPr>
                      </w:pPr>
                      <w:r>
                        <w:rPr>
                          <w:rFonts w:hint="eastAsia" w:ascii="华文中宋" w:hAnsi="华文中宋" w:eastAsia="华文中宋"/>
                          <w:b/>
                          <w:sz w:val="30"/>
                          <w:szCs w:val="30"/>
                        </w:rPr>
                        <w:t>安徽省高校人文社会科学重点研究基地</w:t>
                      </w:r>
                    </w:p>
                  </w:txbxContent>
                </v:textbox>
              </v:shape>
            </w:pict>
          </mc:Fallback>
        </mc:AlternateContent>
      </w:r>
    </w:p>
    <w:p>
      <w:pPr>
        <w:pStyle w:val="4"/>
        <w:adjustRightInd w:val="0"/>
        <w:snapToGrid w:val="0"/>
        <w:spacing w:after="312" w:afterLines="100"/>
        <w:ind w:firstLine="0"/>
        <w:jc w:val="center"/>
        <w:rPr>
          <w:rFonts w:ascii="华文新魏" w:hAnsi="楷体" w:eastAsia="华文新魏"/>
          <w:sz w:val="120"/>
          <w:szCs w:val="120"/>
        </w:rPr>
      </w:pPr>
      <w:r>
        <w:rPr>
          <w:rFonts w:ascii="华文新魏" w:hAnsi="楷体" w:eastAsia="华文新魏"/>
          <w:sz w:val="120"/>
          <w:szCs w:val="120"/>
        </w:rPr>
        <w:pict>
          <v:shape id="_x0000_i1025" o:spt="136" type="#_x0000_t136" style="height:95.25pt;width:425.05pt;" fillcolor="#FF0000" filled="t" stroked="t" coordsize="21600,21600" adj="10800">
            <v:path/>
            <v:fill on="t" color2="#FFFFFF" focussize="0,0"/>
            <v:stroke color="#FF0000"/>
            <v:imagedata o:title=""/>
            <o:lock v:ext="edit" aspectratio="f"/>
            <v:textpath on="t" fitshape="t" fitpath="t" trim="t" xscale="f" string="大学生素质教育研究中心成果简报" style="font-family:宋体;font-size:36pt;font-weight:bold;v-text-align:center;"/>
            <w10:wrap type="none"/>
            <w10:anchorlock/>
          </v:shape>
        </w:pict>
      </w:r>
    </w:p>
    <w:p>
      <w:pPr>
        <w:pStyle w:val="4"/>
        <w:adjustRightInd w:val="0"/>
        <w:snapToGrid w:val="0"/>
        <w:spacing w:after="312" w:afterLines="100" w:line="240" w:lineRule="atLeast"/>
        <w:ind w:firstLine="0"/>
        <w:jc w:val="center"/>
        <w:rPr>
          <w:rFonts w:ascii="黑体" w:hAnsi="华文中宋" w:eastAsia="黑体"/>
          <w:color w:val="000000"/>
          <w:sz w:val="10"/>
          <w:szCs w:val="10"/>
        </w:rPr>
      </w:pPr>
    </w:p>
    <w:p>
      <w:pPr>
        <w:pStyle w:val="4"/>
        <w:adjustRightInd w:val="0"/>
        <w:snapToGrid w:val="0"/>
        <w:spacing w:after="312" w:afterLines="100" w:line="240" w:lineRule="atLeast"/>
        <w:ind w:firstLine="0"/>
        <w:jc w:val="center"/>
        <w:rPr>
          <w:rFonts w:ascii="黑体" w:hAnsi="华文中宋" w:eastAsia="黑体"/>
          <w:color w:val="000000"/>
          <w:sz w:val="36"/>
        </w:rPr>
      </w:pPr>
      <w:r>
        <w:rPr>
          <w:rFonts w:hint="eastAsia" w:ascii="黑体" w:hAnsi="华文中宋" w:eastAsia="黑体"/>
          <w:color w:val="000000"/>
          <w:sz w:val="36"/>
        </w:rPr>
        <w:t>20</w:t>
      </w:r>
      <w:r>
        <w:rPr>
          <w:rFonts w:hint="eastAsia" w:ascii="黑体" w:hAnsi="华文中宋" w:eastAsia="黑体"/>
          <w:color w:val="000000"/>
          <w:sz w:val="36"/>
          <w:lang w:val="en-US" w:eastAsia="zh-CN"/>
        </w:rPr>
        <w:t>16</w:t>
      </w:r>
      <w:r>
        <w:rPr>
          <w:rFonts w:hint="eastAsia" w:ascii="黑体" w:hAnsi="华文中宋" w:eastAsia="黑体"/>
          <w:color w:val="000000"/>
          <w:sz w:val="36"/>
        </w:rPr>
        <w:t>年第</w:t>
      </w:r>
      <w:r>
        <w:rPr>
          <w:rFonts w:hint="eastAsia" w:ascii="黑体" w:hAnsi="华文中宋" w:eastAsia="黑体"/>
          <w:color w:val="000000"/>
          <w:sz w:val="36"/>
          <w:lang w:val="en-US" w:eastAsia="zh-CN"/>
        </w:rPr>
        <w:t>1</w:t>
      </w:r>
      <w:r>
        <w:rPr>
          <w:rFonts w:hint="eastAsia" w:ascii="黑体" w:hAnsi="华文中宋" w:eastAsia="黑体"/>
          <w:color w:val="000000"/>
          <w:sz w:val="36"/>
        </w:rPr>
        <w:t>期</w:t>
      </w:r>
      <w:r>
        <w:rPr>
          <w:rFonts w:hint="eastAsia" w:ascii="黑体" w:hAnsi="华文中宋" w:eastAsia="黑体"/>
          <w:sz w:val="36"/>
        </w:rPr>
        <w:t>(总第</w:t>
      </w:r>
      <w:r>
        <w:rPr>
          <w:rFonts w:hint="eastAsia" w:ascii="黑体" w:hAnsi="华文中宋" w:eastAsia="黑体"/>
          <w:sz w:val="36"/>
          <w:lang w:val="en-US" w:eastAsia="zh-CN"/>
        </w:rPr>
        <w:t>7</w:t>
      </w:r>
      <w:r>
        <w:rPr>
          <w:rFonts w:hint="eastAsia" w:ascii="黑体" w:hAnsi="华文中宋" w:eastAsia="黑体"/>
          <w:sz w:val="36"/>
        </w:rPr>
        <w:t>期)</w:t>
      </w:r>
    </w:p>
    <w:p>
      <w:pPr>
        <w:adjustRightInd w:val="0"/>
        <w:snapToGrid w:val="0"/>
        <w:spacing w:after="249" w:afterLines="80"/>
        <w:rPr>
          <w:rFonts w:ascii="黑体" w:eastAsia="黑体"/>
          <w:sz w:val="28"/>
        </w:rPr>
      </w:pPr>
      <w: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271145</wp:posOffset>
                </wp:positionV>
                <wp:extent cx="5705475" cy="0"/>
                <wp:effectExtent l="0" t="13970" r="9525" b="24130"/>
                <wp:wrapNone/>
                <wp:docPr id="2" name="直接连接符 2"/>
                <wp:cNvGraphicFramePr/>
                <a:graphic xmlns:a="http://schemas.openxmlformats.org/drawingml/2006/main">
                  <a:graphicData uri="http://schemas.microsoft.com/office/word/2010/wordprocessingShape">
                    <wps:wsp>
                      <wps:cNvCnPr/>
                      <wps:spPr>
                        <a:xfrm>
                          <a:off x="0" y="0"/>
                          <a:ext cx="570547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1.35pt;height:0pt;width:449.25pt;z-index:251659264;mso-width-relative:page;mso-height-relative:page;" filled="f" stroked="t" coordsize="21600,21600" o:gfxdata="UEsDBAoAAAAAAIdO4kAAAAAAAAAAAAAAAAAEAAAAZHJzL1BLAwQUAAAACACHTuJAHQ1+M9gAAAAJ&#10;AQAADwAAAGRycy9kb3ducmV2LnhtbE2PzU7DMBCE70i8g7VI3FqnUaBRyKYCBDckRPjp1Y2XOGq8&#10;jmI3Td8eIw7lODuj2W/KzWx7MdHoO8cIq2UCgrhxuuMW4eP9eZGD8EGxVr1jQjiRh011eVGqQrsj&#10;v9FUh1bEEvaFQjAhDIWUvjFklV+6gTh63260KkQ5tlKP6hjLbS/TJLmVVnUcPxg10KOhZl8fLML8&#10;ld+b7Ut4eHKfr2Y/b2s7pSfE66tVcgci0BzOYfjFj+hQRaadO7D2okdYpFncEhCydA0iBvJ1dgNi&#10;93eQVSn/L6h+AFBLAwQUAAAACACHTuJAyC6XcfYBAADlAwAADgAAAGRycy9lMm9Eb2MueG1srVPN&#10;jtMwEL4j8Q6W7zRpRdlV1HQPW8oFQSXgAaaOk1jynzxu074EL4DEDU4cufM2LI/B2Ol2Ybn0QA7O&#10;2DP+Zr5vxoubg9FsLwMqZ2s+nZScSStco2xX8w/v18+uOcMItgHtrKz5USK/WT59shh8JWeud7qR&#10;gRGIxWrwNe9j9FVRoOilAZw4Ly05WxcMRNqGrmgCDIRudDEryxfF4ELjgxMSkU5Xo5OfEMMlgK5t&#10;lZArJ3ZG2jiiBqkhEiXslUe+zNW2rRTxbduijEzXnJjGvFISsrdpLZYLqLoAvlfiVAJcUsIjTgaU&#10;paRnqBVEYLug/oEySgSHro0T4UwxEsmKEItp+Uibdz14mbmQ1OjPouP/gxVv9pvAVFPzGWcWDDX8&#10;7tP3nx+//Prxmda7b1/ZLIk0eKwo9tZuwmmHfhMS40MbTPoTF3bIwh7PwspDZIIO51fl/PnVnDNx&#10;7yseLvqA8ZV0hiWj5lrZxBkq2L/GSMko9D4kHWvLBqr2ep7xgCawpc4TtPHEAm2XL6PTqlkrrdMV&#10;DN32Vge2B5qC9bqkL3Ei4L/CUpYVYD/GZdc4H72E5qVtWDx60sfSs+CpBiMbzrSkV5QsAoQqgtKX&#10;RFJqbamCJOsoZLK2rjlSN3Y+qK4nKaa5yuSh7ud6T5OaxuvPfUZ6eJ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0NfjPYAAAACQEAAA8AAAAAAAAAAQAgAAAAIgAAAGRycy9kb3ducmV2LnhtbFBL&#10;AQIUABQAAAAIAIdO4kDILpdx9gEAAOUDAAAOAAAAAAAAAAEAIAAAACcBAABkcnMvZTJvRG9jLnht&#10;bFBLBQYAAAAABgAGAFkBAACPBQAAAAA=&#10;">
                <v:fill on="f" focussize="0,0"/>
                <v:stroke weight="2.25pt" color="#FF0000" joinstyle="round"/>
                <v:imagedata o:title=""/>
                <o:lock v:ext="edit" aspectratio="f"/>
              </v:line>
            </w:pict>
          </mc:Fallback>
        </mc:AlternateContent>
      </w:r>
      <w:r>
        <w:rPr>
          <w:rFonts w:hint="eastAsia" w:ascii="黑体" w:eastAsia="黑体"/>
          <w:sz w:val="28"/>
        </w:rPr>
        <w:t>安徽新华学院大学生素质教育研究中心编          20</w:t>
      </w:r>
      <w:r>
        <w:rPr>
          <w:rFonts w:hint="eastAsia" w:ascii="黑体" w:eastAsia="黑体"/>
          <w:sz w:val="28"/>
          <w:lang w:val="en-US" w:eastAsia="zh-CN"/>
        </w:rPr>
        <w:t>16</w:t>
      </w:r>
      <w:r>
        <w:rPr>
          <w:rFonts w:hint="eastAsia" w:ascii="黑体" w:eastAsia="黑体"/>
          <w:sz w:val="28"/>
        </w:rPr>
        <w:t>年</w:t>
      </w:r>
      <w:r>
        <w:rPr>
          <w:rFonts w:hint="eastAsia" w:ascii="黑体" w:eastAsia="黑体"/>
          <w:sz w:val="28"/>
          <w:lang w:val="en-US" w:eastAsia="zh-CN"/>
        </w:rPr>
        <w:t>6</w:t>
      </w:r>
      <w:r>
        <w:rPr>
          <w:rFonts w:hint="eastAsia" w:ascii="黑体" w:eastAsia="黑体"/>
          <w:sz w:val="28"/>
        </w:rPr>
        <w:t>月</w:t>
      </w:r>
    </w:p>
    <w:p>
      <w:pPr>
        <w:adjustRightInd w:val="0"/>
        <w:snapToGrid w:val="0"/>
        <w:spacing w:after="249" w:afterLines="80"/>
        <w:rPr>
          <w:rFonts w:eastAsia="黑体"/>
          <w:b/>
          <w:bCs/>
          <w:color w:val="FF0000"/>
          <w:sz w:val="32"/>
        </w:rPr>
      </w:pPr>
      <w:r>
        <w:rPr>
          <w:rFonts w:hint="eastAsia" w:eastAsia="黑体"/>
          <w:b/>
          <w:bCs/>
          <w:color w:val="FF0000"/>
          <w:sz w:val="32"/>
        </w:rPr>
        <w:t xml:space="preserve">  </w:t>
      </w:r>
    </w:p>
    <w:p>
      <w:pPr>
        <w:adjustRightInd w:val="0"/>
        <w:snapToGrid w:val="0"/>
        <w:spacing w:after="249" w:afterLines="80"/>
        <w:jc w:val="center"/>
        <w:rPr>
          <w:rFonts w:eastAsia="黑体"/>
          <w:b/>
          <w:bCs/>
          <w:color w:val="000000"/>
          <w:sz w:val="32"/>
        </w:rPr>
      </w:pPr>
      <w:r>
        <w:rPr>
          <w:rFonts w:hint="eastAsia" w:eastAsia="黑体"/>
          <w:color w:val="000000"/>
          <w:sz w:val="44"/>
        </w:rPr>
        <w:t>本期目录</w:t>
      </w:r>
    </w:p>
    <w:p>
      <w:pPr>
        <w:spacing w:after="156" w:afterLines="50"/>
        <w:ind w:firstLine="750" w:firstLineChars="250"/>
        <w:jc w:val="left"/>
        <w:rPr>
          <w:rFonts w:ascii="黑体" w:hAnsi="宋体" w:eastAsia="黑体"/>
          <w:color w:val="000000"/>
          <w:sz w:val="30"/>
        </w:rPr>
      </w:pPr>
    </w:p>
    <w:p>
      <w:pPr>
        <w:spacing w:after="156" w:afterLines="50"/>
        <w:ind w:firstLine="1500" w:firstLineChars="500"/>
        <w:jc w:val="left"/>
        <w:rPr>
          <w:rFonts w:hint="eastAsia" w:ascii="黑体" w:hAnsi="宋体" w:eastAsia="黑体"/>
          <w:color w:val="000000"/>
          <w:sz w:val="30"/>
          <w:lang w:val="en-US" w:eastAsia="zh-CN"/>
        </w:rPr>
      </w:pPr>
      <w:r>
        <w:rPr>
          <w:rFonts w:hint="eastAsia" w:ascii="黑体" w:hAnsi="宋体" w:eastAsia="黑体"/>
          <w:color w:val="000000"/>
          <w:sz w:val="30"/>
        </w:rPr>
        <w:t>●</w:t>
      </w:r>
      <w:r>
        <w:rPr>
          <w:rFonts w:hint="eastAsia" w:ascii="黑体" w:hAnsi="宋体" w:eastAsia="黑体"/>
          <w:color w:val="000000"/>
          <w:sz w:val="30"/>
          <w:lang w:val="en-US" w:eastAsia="zh-CN"/>
        </w:rPr>
        <w:t>成果摘要</w:t>
      </w: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default" w:ascii="黑体" w:hAnsi="宋体" w:eastAsia="黑体"/>
          <w:color w:val="000000"/>
          <w:sz w:val="30"/>
          <w:lang w:val="en-US" w:eastAsia="zh-CN"/>
        </w:rPr>
      </w:pPr>
    </w:p>
    <w:p>
      <w:pPr>
        <w:spacing w:after="156" w:afterLines="50"/>
        <w:ind w:firstLine="1500" w:firstLineChars="500"/>
        <w:jc w:val="left"/>
        <w:rPr>
          <w:rFonts w:hint="default" w:ascii="黑体" w:eastAsia="黑体"/>
          <w:color w:val="000000"/>
          <w:sz w:val="30"/>
          <w:lang w:val="en-US" w:eastAsia="zh-CN"/>
        </w:rPr>
      </w:pPr>
      <w:r>
        <w:rPr>
          <w:rFonts w:hint="eastAsia" w:ascii="黑体" w:hAnsi="宋体" w:eastAsia="黑体"/>
          <w:color w:val="000000"/>
          <w:sz w:val="30"/>
        </w:rPr>
        <w:t>●</w:t>
      </w:r>
      <w:r>
        <w:rPr>
          <w:rFonts w:hint="eastAsia" w:ascii="黑体" w:hAnsi="宋体" w:eastAsia="黑体"/>
          <w:color w:val="000000"/>
          <w:sz w:val="30"/>
          <w:lang w:val="en-US" w:eastAsia="zh-CN"/>
        </w:rPr>
        <w:t>转载引用</w:t>
      </w: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jc w:val="left"/>
        <w:rPr>
          <w:rFonts w:hint="eastAsia" w:ascii="黑体" w:hAnsi="宋体" w:eastAsia="黑体"/>
          <w:color w:val="000000"/>
          <w:sz w:val="30"/>
          <w:lang w:val="en-US" w:eastAsia="zh-CN"/>
        </w:rPr>
      </w:pPr>
      <w:bookmarkStart w:id="0" w:name="_GoBack"/>
      <w:bookmarkEnd w:id="0"/>
    </w:p>
    <w:tbl>
      <w:tblPr>
        <w:tblStyle w:val="7"/>
        <w:tblpPr w:leftFromText="180" w:rightFromText="180" w:vertAnchor="text" w:horzAnchor="margin" w:tblpY="337"/>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noWrap w:val="0"/>
            <w:vAlign w:val="center"/>
          </w:tcPr>
          <w:p>
            <w:pPr>
              <w:spacing w:line="520" w:lineRule="exact"/>
              <w:jc w:val="center"/>
              <w:rPr>
                <w:rFonts w:hint="eastAsia" w:ascii="宋体" w:hAnsi="宋体" w:eastAsia="宋体"/>
                <w:b/>
                <w:sz w:val="30"/>
                <w:szCs w:val="30"/>
                <w:lang w:val="en-US" w:eastAsia="zh-CN"/>
              </w:rPr>
            </w:pPr>
            <w:r>
              <w:rPr>
                <w:rFonts w:hint="eastAsia" w:ascii="宋体" w:hAnsi="宋体"/>
                <w:b/>
                <w:sz w:val="30"/>
                <w:szCs w:val="30"/>
                <w:lang w:val="en-US" w:eastAsia="zh-CN"/>
              </w:rPr>
              <w:t>成果摘要</w:t>
            </w:r>
          </w:p>
        </w:tc>
      </w:tr>
    </w:tbl>
    <w:p>
      <w:pPr>
        <w:spacing w:after="156" w:afterLines="50"/>
        <w:ind w:firstLine="1500" w:firstLineChars="500"/>
        <w:jc w:val="left"/>
        <w:rPr>
          <w:rFonts w:hint="eastAsia" w:ascii="黑体" w:hAnsi="宋体" w:eastAsia="黑体"/>
          <w:color w:val="000000"/>
          <w:sz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微软雅黑" w:hAnsi="微软雅黑" w:eastAsia="微软雅黑" w:cs="微软雅黑"/>
          <w:b w:val="0"/>
          <w:bCs w:val="0"/>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微软雅黑" w:hAnsi="微软雅黑" w:eastAsia="微软雅黑" w:cs="微软雅黑"/>
          <w:b w:val="0"/>
          <w:bCs w:val="0"/>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ascii="微软雅黑" w:hAnsi="微软雅黑" w:eastAsia="微软雅黑" w:cs="微软雅黑"/>
          <w:b w:val="0"/>
          <w:bCs w:val="0"/>
          <w:color w:val="333333"/>
          <w:sz w:val="36"/>
          <w:szCs w:val="36"/>
        </w:rPr>
      </w:pPr>
      <w:r>
        <w:rPr>
          <w:rFonts w:hint="eastAsia" w:ascii="宋体" w:hAnsi="宋体" w:eastAsia="宋体" w:cs="宋体"/>
          <w:b/>
          <w:bCs/>
          <w:i w:val="0"/>
          <w:iCs w:val="0"/>
          <w:caps w:val="0"/>
          <w:color w:val="333333"/>
          <w:spacing w:val="0"/>
          <w:sz w:val="28"/>
          <w:szCs w:val="28"/>
          <w:shd w:val="clear" w:fill="FFFFFF"/>
        </w:rPr>
        <w:t>我国外语批判性思维研究可视化分析与反思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杨艳霞</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任静生</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本文以Cite Space为分析工具,运用文献计量法梳理了2000—2015年我国外语类CSSCI来源期刊中批判性思维研究的相关文献,通过对关键词和作者知识的可视化分析呈现我国批判性思维研究的现状与热点。分析结果显示,我国批判性思维研究数量整体上呈现不断上升趋势,研究内容集中探讨批判性思维培养模式。文章进而指出了批判性思维研究存在的问题,并展望了未来研究的方向,以期为我国外语教育领域的批判性思维研究提供启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英国公学教育家托马斯·阿诺德教育思想探微——基于《阿诺德论教育》的文本分析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朱镜人</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阿诺德教育思想与社会发展有着千丝万缕的联系;阿诺德论及的教育问题主要涉及公学教育、大学教育、自由教育与专业教育以及低层阶级教育等;从教育实践方面看,阿诺德是英国公学发展史进程中里程碑式的人物,他的改革促进了英国公学的发展;从教育理论方面看,阿诺德是英国古典教育思想的重要代表人物。阿诺德的一些教育理念在今天依然具有现实意义,比如他的关于基督教教育和基督教教学两者关系的论述对思考今天我们的道德教育和道德教学的关系具有重要的启示。 </w:t>
      </w:r>
    </w:p>
    <w:p>
      <w:pPr>
        <w:keepNext w:val="0"/>
        <w:keepLines w:val="0"/>
        <w:pageBreakBefore w:val="0"/>
        <w:kinsoku/>
        <w:wordWrap/>
        <w:overflowPunct/>
        <w:topLinePunct w:val="0"/>
        <w:autoSpaceDE/>
        <w:autoSpaceDN/>
        <w:bidi w:val="0"/>
        <w:adjustRightInd/>
        <w:snapToGrid/>
        <w:spacing w:after="156" w:afterLines="50" w:line="360" w:lineRule="auto"/>
        <w:ind w:firstLine="1500" w:firstLineChars="500"/>
        <w:jc w:val="left"/>
        <w:textAlignment w:val="auto"/>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微软雅黑" w:hAnsi="微软雅黑" w:eastAsia="微软雅黑" w:cs="微软雅黑"/>
          <w:b w:val="0"/>
          <w:bCs w:val="0"/>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微软雅黑" w:hAnsi="微软雅黑" w:eastAsia="微软雅黑" w:cs="微软雅黑"/>
          <w:b w:val="0"/>
          <w:bCs w:val="0"/>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媒介融合时代报纸新闻的可视化发展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150"/>
        <w:jc w:val="center"/>
        <w:textAlignment w:val="auto"/>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王瑾昭孙鹏飞</w:t>
      </w:r>
    </w:p>
    <w:p>
      <w:pPr>
        <w:keepNext w:val="0"/>
        <w:keepLines w:val="0"/>
        <w:pageBreakBefore w:val="0"/>
        <w:kinsoku/>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媒介融合背景下报纸新闻的可视化发展的动因主要有新媒体在经营上给报纸新闻带来冲击,报纸新闻实现可视化是促进内容有效传播的重要手段,受众呈现出的新特征与新需求以及报业市场竞争能力的现实需要等方面。文章以"安徽第一报"——《新安晚报》为例,探讨了媒介融合背景下报纸新闻运作模式的构建原则、新媒体技术应用、文本形态创新及可视化策略运用,再以此为基础分析媒介融合背景下促进报纸新闻创新发展的策略:搭建移动媒体平台,发挥报纸媒体优势,丰富拓展原创内容,大胆尝试数据新闻报道。 </w:t>
      </w:r>
    </w:p>
    <w:p>
      <w:pPr>
        <w:spacing w:after="156" w:afterLines="50"/>
        <w:ind w:firstLine="1500" w:firstLineChars="500"/>
        <w:jc w:val="left"/>
        <w:rPr>
          <w:rFonts w:hint="eastAsia" w:ascii="宋体" w:hAnsi="宋体" w:eastAsia="宋体" w:cs="宋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在观照个体全面发展和关注公民养成之间——美国大学通识教育对我国大学素质教育的启示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殷冬玲</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美国的通识教育在通识人才的塑造上关注公民素养。公民养成并非取代全面发展,它与个体全面发展并不冲突,二者相互统一、共同促进。个体全面发展是公民养成的前提,公民养成的最终结果恰是个体得以实现全面发展。以全面发展为核心是我国的素质教育的典型特点。我国通识人才的培养,不能与社会脱轨,应立足于社会发展之所需,顺应时代,促进国家和社会的进步与繁荣。通识人才不仅仅是作为个体的全面发展,更需观照社会思维与能力,尤其是社会层面"思考、沟通、判断、辨识"能力的提升。</w:t>
      </w:r>
    </w:p>
    <w:p>
      <w:pPr>
        <w:keepNext w:val="0"/>
        <w:keepLines w:val="0"/>
        <w:pageBreakBefore w:val="0"/>
        <w:kinsoku/>
        <w:wordWrap/>
        <w:overflowPunct/>
        <w:topLinePunct w:val="0"/>
        <w:autoSpaceDE/>
        <w:autoSpaceDN/>
        <w:bidi w:val="0"/>
        <w:adjustRightInd/>
        <w:snapToGrid/>
        <w:spacing w:after="156" w:afterLines="50" w:line="360" w:lineRule="auto"/>
        <w:ind w:firstLine="1500" w:firstLineChars="500"/>
        <w:jc w:val="left"/>
        <w:textAlignment w:val="auto"/>
        <w:rPr>
          <w:rFonts w:hint="eastAsia" w:ascii="黑体" w:hAnsi="宋体" w:eastAsia="黑体"/>
          <w:color w:val="000000"/>
          <w:sz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val="0"/>
          <w:bCs w:val="0"/>
          <w:color w:val="333333"/>
          <w:sz w:val="36"/>
          <w:szCs w:val="36"/>
        </w:rPr>
      </w:pPr>
      <w:r>
        <w:rPr>
          <w:rFonts w:hint="eastAsia" w:ascii="宋体" w:hAnsi="宋体" w:eastAsia="宋体" w:cs="宋体"/>
          <w:b/>
          <w:bCs/>
          <w:i w:val="0"/>
          <w:iCs w:val="0"/>
          <w:caps w:val="0"/>
          <w:color w:val="333333"/>
          <w:spacing w:val="0"/>
          <w:sz w:val="28"/>
          <w:szCs w:val="28"/>
          <w:shd w:val="clear" w:fill="FFFFFF"/>
        </w:rPr>
        <w:t>论儒家德育方法与高校思想政治教育方法创新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霍广田</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霍广才</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张红光</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儒家德育方法由于体系完善、功能强大,成为古代德育方法体系中的主体。新时期创新高校思想政治教育方法必须对儒家德育方法的基本内涵、特点及体系构成等进行研究。特别是要明确儒家德育方法与高校思想政治教育方法创新之间的关联性,这是借鉴优秀传统文化,创新高校思想政治教育方法的关键所在。这对于把握高校思想政治教育方法的综合化、复杂化、现代化创新趋势具有重要的启示意义。 </w:t>
      </w:r>
    </w:p>
    <w:p>
      <w:pPr>
        <w:keepNext w:val="0"/>
        <w:keepLines w:val="0"/>
        <w:pageBreakBefore w:val="0"/>
        <w:kinsoku/>
        <w:wordWrap/>
        <w:overflowPunct/>
        <w:topLinePunct w:val="0"/>
        <w:autoSpaceDE/>
        <w:autoSpaceDN/>
        <w:bidi w:val="0"/>
        <w:adjustRightInd/>
        <w:snapToGrid/>
        <w:spacing w:after="156" w:afterLines="50" w:line="360" w:lineRule="auto"/>
        <w:ind w:firstLine="1500" w:firstLineChars="500"/>
        <w:jc w:val="left"/>
        <w:textAlignment w:val="auto"/>
        <w:rPr>
          <w:rFonts w:hint="eastAsia" w:ascii="黑体" w:hAnsi="宋体" w:eastAsia="黑体"/>
          <w:color w:val="000000"/>
          <w:sz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auto"/>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auto"/>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auto"/>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auto"/>
          <w:sz w:val="28"/>
          <w:szCs w:val="28"/>
        </w:rPr>
      </w:pPr>
      <w:r>
        <w:rPr>
          <w:rFonts w:hint="eastAsia" w:ascii="宋体" w:hAnsi="宋体" w:eastAsia="宋体" w:cs="宋体"/>
          <w:b/>
          <w:bCs/>
          <w:i w:val="0"/>
          <w:iCs w:val="0"/>
          <w:caps w:val="0"/>
          <w:color w:val="auto"/>
          <w:spacing w:val="0"/>
          <w:sz w:val="28"/>
          <w:szCs w:val="28"/>
          <w:shd w:val="clear" w:fill="FFFFFF"/>
        </w:rPr>
        <w:t>《1844年经济学哲学手稿》中异化消费思想及启示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徐平</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auto"/>
          <w:spacing w:val="0"/>
          <w:kern w:val="0"/>
          <w:sz w:val="21"/>
          <w:szCs w:val="21"/>
          <w:shd w:val="clear" w:fill="FFFFFF"/>
          <w:lang w:val="en-US" w:eastAsia="zh-CN" w:bidi="ar"/>
        </w:rPr>
        <w:t>马克思在《1844年经济学哲学手稿》中对异化理论的论述包含劳动异化、需求异化、消费异化三个方面含义。消费主义文化风靡全球的今天,这种消费异化再次凸显并主要表现为过于追求商品符号价值的虚假消费、深陷广告效应的盲目性消费、凸显个性差异的夸示性消费和追求潮流认可的时尚消费。为此,人们应当培育理性消费意识、树立适度消费理念、遵照责任消费要求、践行可持续消费行为的生态消费新模式。 </w:t>
      </w:r>
    </w:p>
    <w:p>
      <w:pPr>
        <w:spacing w:after="156" w:afterLines="50"/>
        <w:ind w:firstLine="1050" w:firstLineChars="500"/>
        <w:jc w:val="left"/>
        <w:rPr>
          <w:rFonts w:hint="eastAsia" w:ascii="宋体" w:hAnsi="宋体" w:eastAsia="宋体" w:cs="宋体"/>
          <w:color w:val="auto"/>
          <w:sz w:val="21"/>
          <w:szCs w:val="21"/>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英国“教生制”及“教生中心”兴衰研究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朱镜人</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汤雪花</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英国教生制的产生和发展源于4个因素,即19世纪英国初等教育发展的需要,导生制的衰落,凯-沙图华兹的倡导和教生队伍的发展。英国教生中心是教生制发展到一定阶段的自然产物,有5个特点:即与实习学校密切合作,按全科教师目标训练教生,训练严格,教生中心的教师既有丰富的教学实践经验又有高层次的学历,教生制训练相当于初级教师教育内容和水平。深入研究英国教生制和教生中心的兴衰,不仅可以深入了解英国教师教育发展的脉络,而且可以获得一些有益的启示。 </w:t>
      </w:r>
    </w:p>
    <w:p>
      <w:pPr>
        <w:keepNext w:val="0"/>
        <w:keepLines w:val="0"/>
        <w:pageBreakBefore w:val="0"/>
        <w:kinsoku/>
        <w:wordWrap/>
        <w:overflowPunct/>
        <w:topLinePunct w:val="0"/>
        <w:autoSpaceDE/>
        <w:autoSpaceDN/>
        <w:bidi w:val="0"/>
        <w:adjustRightInd/>
        <w:snapToGrid/>
        <w:spacing w:after="156" w:afterLines="50" w:line="360" w:lineRule="auto"/>
        <w:ind w:firstLine="1050" w:firstLineChars="500"/>
        <w:jc w:val="left"/>
        <w:textAlignment w:val="auto"/>
        <w:rPr>
          <w:rFonts w:hint="eastAsia" w:ascii="宋体" w:hAnsi="宋体" w:eastAsia="宋体" w:cs="宋体"/>
          <w:color w:val="000000"/>
          <w:sz w:val="21"/>
          <w:szCs w:val="21"/>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405" w:firstLineChars="500"/>
        <w:jc w:val="left"/>
        <w:rPr>
          <w:rFonts w:hint="eastAsia" w:ascii="黑体" w:hAnsi="宋体" w:eastAsia="黑体"/>
          <w:b/>
          <w:bCs/>
          <w:color w:val="000000"/>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20世纪90年代初英国职前教师教育改革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u w:val="none"/>
          <w:shd w:val="clear" w:fill="FFFFFF"/>
        </w:rPr>
        <w:t>朱镜人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英国20世纪90年代初职前教师教育改革原因在于教育界内外围绕教师专业性问题争论激烈以及政府对职前教师教育的关注;签约教师计划、特许证书计划和综合培养模式是改革的三项举措;注重教学实践训练以及强调高校与地方教育行政部门以及中小学合作是这次改革的特点。英国改革的启示有三点:其一,职前教师教育应当注重学生实践知识和能力的掌握,但千万不可忽视教育专业理论的学习;其二,职前教师教育不能忽略学科知识的学习;其三,高等学校在职前教师教育中的地位不可动摇。 </w:t>
      </w: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333333"/>
          <w:spacing w:val="0"/>
          <w:sz w:val="28"/>
          <w:szCs w:val="28"/>
          <w:shd w:val="clear" w:fill="FFFFFF"/>
        </w:rPr>
        <w:t>安徽新建本科高校经管类大学生创业能力培养研究——基于实践能力培养</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rPr>
      </w:pPr>
      <w:r>
        <w:rPr>
          <w:rFonts w:hint="eastAsia" w:ascii="宋体" w:hAnsi="宋体" w:eastAsia="宋体" w:cs="宋体"/>
          <w:b/>
          <w:bCs/>
          <w:i w:val="0"/>
          <w:iCs w:val="0"/>
          <w:caps w:val="0"/>
          <w:color w:val="auto"/>
          <w:spacing w:val="0"/>
          <w:sz w:val="21"/>
          <w:szCs w:val="21"/>
          <w:u w:val="none"/>
          <w:shd w:val="clear" w:fill="FFFFFF"/>
        </w:rPr>
        <w:t>翟荣兵</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陆克斌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本文通过对安徽新建本科高校经管类大学生实践能力的现状进行分析,从观念、实践环境、专业设置、培养体系四个方面阐述了安徽新建本科高校经管类大学生实践能力培养过程中存在的问题.文章还阐述了创业能力和实践能力的相互关系.并针对现状,构建了"五位一体"的大学生实践能力培养体系,从高校、社会、政府、学生、家庭五个方面提出具体措施加强实践能力培养,从而强化大学生创业能力. </w:t>
      </w:r>
    </w:p>
    <w:p>
      <w:pPr>
        <w:spacing w:after="156" w:afterLines="50"/>
        <w:ind w:firstLine="1050" w:firstLineChars="500"/>
        <w:jc w:val="left"/>
        <w:rPr>
          <w:rFonts w:hint="eastAsia" w:ascii="宋体" w:hAnsi="宋体" w:eastAsia="宋体" w:cs="宋体"/>
          <w:color w:val="000000"/>
          <w:sz w:val="21"/>
          <w:szCs w:val="21"/>
          <w:lang w:val="en-US" w:eastAsia="zh-CN"/>
        </w:rPr>
      </w:pPr>
    </w:p>
    <w:p>
      <w:pPr>
        <w:spacing w:after="156" w:afterLines="50"/>
        <w:ind w:firstLine="1050" w:firstLineChars="500"/>
        <w:jc w:val="left"/>
        <w:rPr>
          <w:rFonts w:hint="eastAsia" w:ascii="宋体" w:hAnsi="宋体" w:eastAsia="宋体" w:cs="宋体"/>
          <w:color w:val="000000"/>
          <w:sz w:val="21"/>
          <w:szCs w:val="21"/>
          <w:lang w:val="en-US" w:eastAsia="zh-CN"/>
        </w:rPr>
      </w:pPr>
    </w:p>
    <w:p>
      <w:pPr>
        <w:spacing w:after="156" w:afterLines="50"/>
        <w:ind w:firstLine="1050" w:firstLineChars="500"/>
        <w:jc w:val="left"/>
        <w:rPr>
          <w:rFonts w:hint="eastAsia" w:ascii="宋体" w:hAnsi="宋体" w:eastAsia="宋体" w:cs="宋体"/>
          <w:color w:val="000000"/>
          <w:sz w:val="21"/>
          <w:szCs w:val="21"/>
          <w:lang w:val="en-US" w:eastAsia="zh-CN"/>
        </w:rPr>
      </w:pPr>
    </w:p>
    <w:p>
      <w:pPr>
        <w:spacing w:after="156" w:afterLines="50"/>
        <w:ind w:firstLine="1050" w:firstLineChars="500"/>
        <w:jc w:val="left"/>
        <w:rPr>
          <w:rFonts w:hint="eastAsia" w:ascii="宋体" w:hAnsi="宋体" w:eastAsia="宋体" w:cs="宋体"/>
          <w:color w:val="000000"/>
          <w:sz w:val="21"/>
          <w:szCs w:val="21"/>
          <w:lang w:val="en-US" w:eastAsia="zh-CN"/>
        </w:rPr>
      </w:pPr>
    </w:p>
    <w:p>
      <w:pPr>
        <w:spacing w:after="156" w:afterLines="50"/>
        <w:ind w:firstLine="1050" w:firstLineChars="500"/>
        <w:jc w:val="left"/>
        <w:rPr>
          <w:rFonts w:hint="eastAsia" w:ascii="宋体" w:hAnsi="宋体" w:eastAsia="宋体" w:cs="宋体"/>
          <w:color w:val="000000"/>
          <w:sz w:val="21"/>
          <w:szCs w:val="21"/>
          <w:lang w:val="en-US" w:eastAsia="zh-CN"/>
        </w:rPr>
      </w:pPr>
    </w:p>
    <w:p>
      <w:pPr>
        <w:spacing w:after="156" w:afterLines="50"/>
        <w:ind w:firstLine="1050" w:firstLineChars="500"/>
        <w:jc w:val="left"/>
        <w:rPr>
          <w:rFonts w:hint="eastAsia" w:ascii="宋体" w:hAnsi="宋体" w:eastAsia="宋体" w:cs="宋体"/>
          <w:color w:val="000000"/>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333333"/>
          <w:spacing w:val="0"/>
          <w:sz w:val="28"/>
          <w:szCs w:val="28"/>
          <w:shd w:val="clear" w:fill="FFFFFF"/>
        </w:rPr>
        <w:t>新建本科院校品牌文化建设中校园文化创意产品研发探讨</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朱诵贵</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新建本科院校需要大力加强品牌文化建设,校园文化创意产品的开发推广是品牌建设的有效渠道。确立好校园文化创意产品的定位,细化分析产品开发的分类,研究设计需求,合理安排研发推广,对成功开发校园文化产品均有积极意义。校园文化创意产品的成功研发,为校园品牌建设、校园文化、经济效益等起到促进作用。 </w:t>
      </w:r>
    </w:p>
    <w:p>
      <w:pPr>
        <w:keepNext w:val="0"/>
        <w:keepLines w:val="0"/>
        <w:pageBreakBefore w:val="0"/>
        <w:kinsoku/>
        <w:wordWrap/>
        <w:overflowPunct/>
        <w:topLinePunct w:val="0"/>
        <w:autoSpaceDE/>
        <w:autoSpaceDN/>
        <w:bidi w:val="0"/>
        <w:adjustRightInd/>
        <w:snapToGrid/>
        <w:spacing w:after="156" w:afterLines="50" w:line="360" w:lineRule="auto"/>
        <w:ind w:firstLine="1405" w:firstLineChars="500"/>
        <w:jc w:val="left"/>
        <w:textAlignment w:val="auto"/>
        <w:rPr>
          <w:rFonts w:hint="eastAsia" w:ascii="黑体" w:hAnsi="宋体" w:eastAsia="黑体"/>
          <w:b/>
          <w:bCs/>
          <w:color w:val="000000"/>
          <w:sz w:val="28"/>
          <w:szCs w:val="28"/>
          <w:lang w:val="en-US" w:eastAsia="zh-CN"/>
        </w:rPr>
      </w:pPr>
    </w:p>
    <w:p>
      <w:pPr>
        <w:spacing w:after="156" w:afterLines="50"/>
        <w:ind w:firstLine="1405" w:firstLineChars="500"/>
        <w:jc w:val="left"/>
        <w:rPr>
          <w:rFonts w:hint="eastAsia" w:ascii="黑体" w:hAnsi="宋体" w:eastAsia="黑体"/>
          <w:b/>
          <w:bCs/>
          <w:color w:val="000000"/>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美国大学通识教育理念的嬗变与实践探索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程宏云</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阐述了美国大学通识教育理念的嬗变,以哈佛大学和南新罕布什尔大学为例介绍了美国大学通识教育的实践探索,从而得到以下几点启示:强化对通识教育作用的认识;构建通识教育和专业教育有机融合的课程体系;开设名著导读课程;改革通识教育课程的教学方法和考核形式;加强通识教育师资队伍建设等。 </w:t>
      </w:r>
    </w:p>
    <w:p>
      <w:pPr>
        <w:keepNext w:val="0"/>
        <w:keepLines w:val="0"/>
        <w:pageBreakBefore w:val="0"/>
        <w:kinsoku/>
        <w:wordWrap/>
        <w:overflowPunct/>
        <w:topLinePunct w:val="0"/>
        <w:autoSpaceDE/>
        <w:autoSpaceDN/>
        <w:bidi w:val="0"/>
        <w:adjustRightInd/>
        <w:snapToGrid/>
        <w:spacing w:after="156" w:afterLines="50" w:line="360" w:lineRule="auto"/>
        <w:ind w:firstLine="1050" w:firstLineChars="500"/>
        <w:jc w:val="left"/>
        <w:textAlignment w:val="auto"/>
        <w:rPr>
          <w:rFonts w:hint="eastAsia" w:ascii="宋体" w:hAnsi="宋体" w:eastAsia="宋体" w:cs="宋体"/>
          <w:color w:val="000000"/>
          <w:sz w:val="21"/>
          <w:szCs w:val="21"/>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体育艺术类选项课对大学生心理健康影响的研究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陈洁</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卢悦宜</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作为普通高校素质教育的重要组成部分,体育教育和大学生心理健康教育之间存在着密不可分的联系,分析和探讨体育艺术类选项课对大学生心理健康的效用和影响,为心理健康教育工作的开展和改革提供新视角.采用文献资料、问卷调查和数理统计等方法,结合POMS心境状态量表,对50名2015级学生进行实验研究,得出相关结论:体育艺术类选项课对大学生心理健康有着积极的影响;不同的体育艺术类选项课对大学生心理健康的具体项目的影响也不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p>
    <w:tbl>
      <w:tblPr>
        <w:tblStyle w:val="7"/>
        <w:tblpPr w:leftFromText="180" w:rightFromText="180" w:vertAnchor="text" w:horzAnchor="page" w:tblpX="2023" w:tblpY="335"/>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noWrap w:val="0"/>
            <w:vAlign w:val="center"/>
          </w:tcPr>
          <w:p>
            <w:pPr>
              <w:spacing w:line="520" w:lineRule="exact"/>
              <w:jc w:val="center"/>
              <w:rPr>
                <w:rFonts w:hint="default" w:ascii="宋体" w:hAnsi="宋体" w:eastAsia="宋体"/>
                <w:b/>
                <w:sz w:val="30"/>
                <w:szCs w:val="30"/>
                <w:lang w:val="en-US" w:eastAsia="zh-CN"/>
              </w:rPr>
            </w:pPr>
            <w:r>
              <w:rPr>
                <w:rFonts w:hint="eastAsia" w:ascii="宋体" w:hAnsi="宋体" w:eastAsia="宋体"/>
                <w:b/>
                <w:sz w:val="30"/>
                <w:szCs w:val="30"/>
                <w:lang w:val="en-US" w:eastAsia="zh-CN"/>
              </w:rPr>
              <w:t>转载引用</w:t>
            </w:r>
          </w:p>
        </w:tc>
      </w:tr>
    </w:tbl>
    <w:p>
      <w:pPr>
        <w:spacing w:after="156" w:afterLines="50"/>
        <w:ind w:firstLine="1500" w:firstLineChars="500"/>
        <w:jc w:val="left"/>
        <w:rPr>
          <w:rFonts w:hint="eastAsia" w:ascii="黑体" w:hAnsi="宋体" w:eastAsia="黑体"/>
          <w:color w:val="000000"/>
          <w:sz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eastAsia" w:cs="宋体"/>
          <w:b w:val="0"/>
          <w:bCs w:val="0"/>
          <w:i w:val="0"/>
          <w:iCs w:val="0"/>
          <w:caps w:val="0"/>
          <w:color w:val="333333"/>
          <w:spacing w:val="0"/>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eastAsia" w:cs="宋体"/>
          <w:b w:val="0"/>
          <w:bCs w:val="0"/>
          <w:i w:val="0"/>
          <w:iCs w:val="0"/>
          <w:caps w:val="0"/>
          <w:color w:val="333333"/>
          <w:spacing w:val="0"/>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eastAsia"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1.</w:t>
      </w:r>
      <w:r>
        <w:rPr>
          <w:rFonts w:hint="eastAsia" w:ascii="宋体" w:hAnsi="宋体" w:eastAsia="宋体" w:cs="宋体"/>
          <w:b w:val="0"/>
          <w:bCs w:val="0"/>
          <w:i w:val="0"/>
          <w:iCs w:val="0"/>
          <w:caps w:val="0"/>
          <w:color w:val="333333"/>
          <w:spacing w:val="0"/>
          <w:sz w:val="28"/>
          <w:szCs w:val="28"/>
          <w:shd w:val="clear" w:fill="FFFFFF"/>
          <w:lang w:val="en-US" w:eastAsia="zh-CN"/>
        </w:rPr>
        <w:t>杨艳霞论文：“</w:t>
      </w:r>
      <w:r>
        <w:rPr>
          <w:rFonts w:hint="eastAsia" w:ascii="宋体" w:hAnsi="宋体" w:eastAsia="宋体" w:cs="宋体"/>
          <w:b w:val="0"/>
          <w:bCs w:val="0"/>
          <w:i w:val="0"/>
          <w:iCs w:val="0"/>
          <w:caps w:val="0"/>
          <w:color w:val="333333"/>
          <w:spacing w:val="0"/>
          <w:sz w:val="28"/>
          <w:szCs w:val="28"/>
          <w:shd w:val="clear" w:fill="FFFFFF"/>
        </w:rPr>
        <w:t>我国外语批判性思维研究可视化分析与反思</w:t>
      </w:r>
      <w:r>
        <w:rPr>
          <w:rFonts w:hint="eastAsia" w:ascii="宋体" w:hAnsi="宋体" w:eastAsia="宋体" w:cs="宋体"/>
          <w:b w:val="0"/>
          <w:bCs w:val="0"/>
          <w:i w:val="0"/>
          <w:iCs w:val="0"/>
          <w:caps w:val="0"/>
          <w:color w:val="333333"/>
          <w:spacing w:val="0"/>
          <w:sz w:val="28"/>
          <w:szCs w:val="28"/>
          <w:shd w:val="clear" w:fill="FFFFFF"/>
          <w:lang w:eastAsia="zh-CN"/>
        </w:rPr>
        <w:t>”</w:t>
      </w:r>
      <w:r>
        <w:rPr>
          <w:rFonts w:hint="eastAsia" w:ascii="宋体" w:hAnsi="宋体" w:eastAsia="宋体" w:cs="宋体"/>
          <w:b w:val="0"/>
          <w:bCs w:val="0"/>
          <w:i w:val="0"/>
          <w:iCs w:val="0"/>
          <w:caps w:val="0"/>
          <w:color w:val="333333"/>
          <w:spacing w:val="0"/>
          <w:sz w:val="28"/>
          <w:szCs w:val="28"/>
          <w:shd w:val="clear" w:fill="FFFFFF"/>
          <w:lang w:val="en-US" w:eastAsia="zh-CN"/>
        </w:rPr>
        <w:t>引用37次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eastAsia" w:cs="宋体"/>
          <w:b w:val="0"/>
          <w:bCs w:val="0"/>
          <w:i w:val="0"/>
          <w:iCs w:val="0"/>
          <w:caps w:val="0"/>
          <w:color w:val="333333"/>
          <w:spacing w:val="0"/>
          <w:sz w:val="28"/>
          <w:szCs w:val="28"/>
          <w:shd w:val="clear" w:fill="FFFFFF"/>
          <w:lang w:val="en-US" w:eastAsia="zh-CN"/>
        </w:rPr>
      </w:pPr>
      <w:r>
        <w:rPr>
          <w:rFonts w:hint="eastAsia" w:cs="宋体"/>
          <w:b w:val="0"/>
          <w:bCs w:val="0"/>
          <w:i w:val="0"/>
          <w:iCs w:val="0"/>
          <w:caps w:val="0"/>
          <w:color w:val="333333"/>
          <w:spacing w:val="0"/>
          <w:sz w:val="28"/>
          <w:szCs w:val="28"/>
          <w:shd w:val="clear" w:fill="FFFFFF"/>
          <w:lang w:val="en-US" w:eastAsia="zh-CN"/>
        </w:rPr>
        <w:t>2.朱镜人论文：“</w:t>
      </w:r>
      <w:r>
        <w:rPr>
          <w:rFonts w:hint="eastAsia" w:ascii="宋体" w:hAnsi="宋体" w:eastAsia="宋体" w:cs="宋体"/>
          <w:b w:val="0"/>
          <w:bCs w:val="0"/>
          <w:i w:val="0"/>
          <w:iCs w:val="0"/>
          <w:caps w:val="0"/>
          <w:color w:val="333333"/>
          <w:spacing w:val="0"/>
          <w:sz w:val="28"/>
          <w:szCs w:val="28"/>
          <w:shd w:val="clear" w:fill="FFFFFF"/>
        </w:rPr>
        <w:t>英国公学教育家托马斯·阿诺德教育思想探微——基于《阿诺德论教育》的文本分析</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textAlignment w:val="center"/>
        <w:rPr>
          <w:rFonts w:hint="eastAsia" w:ascii="宋体" w:hAnsi="宋体" w:eastAsia="宋体" w:cs="宋体"/>
          <w:b w:val="0"/>
          <w:bCs w:val="0"/>
          <w:color w:val="333333"/>
          <w:sz w:val="28"/>
          <w:szCs w:val="28"/>
          <w:lang w:val="en-US" w:eastAsia="zh-CN"/>
        </w:rPr>
      </w:pPr>
      <w:r>
        <w:rPr>
          <w:rFonts w:hint="eastAsia" w:cs="宋体"/>
          <w:b w:val="0"/>
          <w:bCs w:val="0"/>
          <w:i w:val="0"/>
          <w:iCs w:val="0"/>
          <w:caps w:val="0"/>
          <w:color w:val="auto"/>
          <w:spacing w:val="0"/>
          <w:sz w:val="28"/>
          <w:szCs w:val="28"/>
          <w:u w:val="none"/>
          <w:shd w:val="clear" w:fill="FFFFFF"/>
          <w:lang w:val="en-US" w:eastAsia="zh-CN"/>
        </w:rPr>
        <w:t>3.</w:t>
      </w:r>
      <w:r>
        <w:rPr>
          <w:rFonts w:hint="eastAsia" w:ascii="宋体" w:hAnsi="宋体" w:eastAsia="宋体" w:cs="宋体"/>
          <w:b w:val="0"/>
          <w:bCs w:val="0"/>
          <w:i w:val="0"/>
          <w:iCs w:val="0"/>
          <w:caps w:val="0"/>
          <w:color w:val="auto"/>
          <w:spacing w:val="0"/>
          <w:sz w:val="28"/>
          <w:szCs w:val="28"/>
          <w:u w:val="none"/>
          <w:shd w:val="clear" w:fill="FFFFFF"/>
        </w:rPr>
        <w:t>王瑾昭</w:t>
      </w:r>
      <w:r>
        <w:rPr>
          <w:rFonts w:hint="eastAsia" w:ascii="宋体" w:hAnsi="宋体" w:eastAsia="宋体" w:cs="宋体"/>
          <w:b w:val="0"/>
          <w:bCs w:val="0"/>
          <w:i w:val="0"/>
          <w:iCs w:val="0"/>
          <w:caps w:val="0"/>
          <w:color w:val="auto"/>
          <w:spacing w:val="0"/>
          <w:sz w:val="28"/>
          <w:szCs w:val="28"/>
          <w:u w:val="none"/>
          <w:shd w:val="clear" w:fill="FFFFFF"/>
          <w:lang w:val="en-US" w:eastAsia="zh-CN"/>
        </w:rPr>
        <w:t>论文：“</w:t>
      </w:r>
      <w:r>
        <w:rPr>
          <w:rFonts w:hint="eastAsia" w:ascii="宋体" w:hAnsi="宋体" w:eastAsia="宋体" w:cs="宋体"/>
          <w:b w:val="0"/>
          <w:bCs w:val="0"/>
          <w:i w:val="0"/>
          <w:iCs w:val="0"/>
          <w:caps w:val="0"/>
          <w:color w:val="333333"/>
          <w:spacing w:val="0"/>
          <w:sz w:val="28"/>
          <w:szCs w:val="28"/>
          <w:shd w:val="clear" w:fill="FFFFFF"/>
        </w:rPr>
        <w:t>媒介融合时代报纸新闻的可视化发展</w:t>
      </w:r>
      <w:r>
        <w:rPr>
          <w:rFonts w:hint="eastAsia" w:ascii="宋体" w:hAnsi="宋体" w:eastAsia="宋体" w:cs="宋体"/>
          <w:b w:val="0"/>
          <w:bCs w:val="0"/>
          <w:i w:val="0"/>
          <w:iCs w:val="0"/>
          <w:caps w:val="0"/>
          <w:color w:val="333333"/>
          <w:spacing w:val="0"/>
          <w:sz w:val="28"/>
          <w:szCs w:val="28"/>
          <w:shd w:val="clear" w:fill="FFFFFF"/>
          <w:lang w:eastAsia="zh-CN"/>
        </w:rPr>
        <w:t>”</w:t>
      </w:r>
      <w:r>
        <w:rPr>
          <w:rFonts w:hint="eastAsia" w:ascii="宋体" w:hAnsi="宋体" w:eastAsia="宋体" w:cs="宋体"/>
          <w:b w:val="0"/>
          <w:bCs w:val="0"/>
          <w:i w:val="0"/>
          <w:iCs w:val="0"/>
          <w:caps w:val="0"/>
          <w:color w:val="333333"/>
          <w:spacing w:val="0"/>
          <w:sz w:val="28"/>
          <w:szCs w:val="28"/>
          <w:shd w:val="clear" w:fill="FFFFFF"/>
          <w:lang w:val="en-US" w:eastAsia="zh-CN"/>
        </w:rPr>
        <w:t>引用5次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both"/>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auto"/>
          <w:spacing w:val="0"/>
          <w:sz w:val="28"/>
          <w:szCs w:val="28"/>
          <w:u w:val="none"/>
          <w:shd w:val="clear" w:fill="FFFFFF"/>
          <w:lang w:val="en-US" w:eastAsia="zh-CN"/>
        </w:rPr>
        <w:t>4.</w:t>
      </w:r>
      <w:r>
        <w:rPr>
          <w:rFonts w:hint="eastAsia" w:ascii="宋体" w:hAnsi="宋体" w:eastAsia="宋体" w:cs="宋体"/>
          <w:b w:val="0"/>
          <w:bCs w:val="0"/>
          <w:i w:val="0"/>
          <w:iCs w:val="0"/>
          <w:caps w:val="0"/>
          <w:color w:val="auto"/>
          <w:spacing w:val="0"/>
          <w:sz w:val="28"/>
          <w:szCs w:val="28"/>
          <w:u w:val="none"/>
          <w:shd w:val="clear" w:fill="FFFFFF"/>
        </w:rPr>
        <w:t>殷冬玲</w:t>
      </w:r>
      <w:r>
        <w:rPr>
          <w:rFonts w:hint="eastAsia" w:cs="宋体"/>
          <w:b w:val="0"/>
          <w:bCs w:val="0"/>
          <w:i w:val="0"/>
          <w:iCs w:val="0"/>
          <w:caps w:val="0"/>
          <w:color w:val="auto"/>
          <w:spacing w:val="0"/>
          <w:sz w:val="28"/>
          <w:szCs w:val="28"/>
          <w:u w:val="none"/>
          <w:shd w:val="clear" w:fill="FFFFFF"/>
          <w:lang w:val="en-US" w:eastAsia="zh-CN"/>
        </w:rPr>
        <w:t>论文：“</w:t>
      </w:r>
      <w:r>
        <w:rPr>
          <w:rFonts w:hint="eastAsia" w:ascii="宋体" w:hAnsi="宋体" w:eastAsia="宋体" w:cs="宋体"/>
          <w:b w:val="0"/>
          <w:bCs w:val="0"/>
          <w:i w:val="0"/>
          <w:iCs w:val="0"/>
          <w:caps w:val="0"/>
          <w:color w:val="333333"/>
          <w:spacing w:val="0"/>
          <w:sz w:val="28"/>
          <w:szCs w:val="28"/>
          <w:shd w:val="clear" w:fill="FFFFFF"/>
        </w:rPr>
        <w:t>在观照个体全面发展和关注公民养成之间——美国大学通识教育对我国大学素质教育的启示</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36"/>
          <w:szCs w:val="36"/>
          <w:lang w:val="en-US" w:eastAsia="zh-CN"/>
        </w:rPr>
      </w:pPr>
      <w:r>
        <w:rPr>
          <w:rFonts w:hint="eastAsia" w:cs="宋体"/>
          <w:b w:val="0"/>
          <w:bCs w:val="0"/>
          <w:i w:val="0"/>
          <w:iCs w:val="0"/>
          <w:caps w:val="0"/>
          <w:color w:val="333333"/>
          <w:spacing w:val="0"/>
          <w:sz w:val="28"/>
          <w:szCs w:val="28"/>
          <w:shd w:val="clear" w:fill="FFFFFF"/>
          <w:lang w:val="en-US" w:eastAsia="zh-CN"/>
        </w:rPr>
        <w:t>5.霍广田论文呢：“</w:t>
      </w:r>
      <w:r>
        <w:rPr>
          <w:rFonts w:hint="eastAsia" w:ascii="宋体" w:hAnsi="宋体" w:eastAsia="宋体" w:cs="宋体"/>
          <w:b w:val="0"/>
          <w:bCs w:val="0"/>
          <w:i w:val="0"/>
          <w:iCs w:val="0"/>
          <w:caps w:val="0"/>
          <w:color w:val="333333"/>
          <w:spacing w:val="0"/>
          <w:sz w:val="28"/>
          <w:szCs w:val="28"/>
          <w:shd w:val="clear" w:fill="FFFFFF"/>
        </w:rPr>
        <w:t>论儒家德育方法与高校思想政治教育方法创新</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引用7次。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auto"/>
          <w:sz w:val="28"/>
          <w:szCs w:val="28"/>
          <w:lang w:val="en-US" w:eastAsia="zh-CN"/>
        </w:rPr>
      </w:pPr>
      <w:r>
        <w:rPr>
          <w:rFonts w:hint="eastAsia" w:cs="宋体"/>
          <w:b w:val="0"/>
          <w:bCs w:val="0"/>
          <w:i w:val="0"/>
          <w:iCs w:val="0"/>
          <w:caps w:val="0"/>
          <w:color w:val="auto"/>
          <w:spacing w:val="0"/>
          <w:sz w:val="28"/>
          <w:szCs w:val="28"/>
          <w:shd w:val="clear" w:fill="FFFFFF"/>
          <w:lang w:val="en-US" w:eastAsia="zh-CN"/>
        </w:rPr>
        <w:t>6.徐平论文：“</w:t>
      </w:r>
      <w:r>
        <w:rPr>
          <w:rFonts w:hint="eastAsia" w:ascii="宋体" w:hAnsi="宋体" w:eastAsia="宋体" w:cs="宋体"/>
          <w:b w:val="0"/>
          <w:bCs w:val="0"/>
          <w:i w:val="0"/>
          <w:iCs w:val="0"/>
          <w:caps w:val="0"/>
          <w:color w:val="auto"/>
          <w:spacing w:val="0"/>
          <w:sz w:val="28"/>
          <w:szCs w:val="28"/>
          <w:shd w:val="clear" w:fill="FFFFFF"/>
        </w:rPr>
        <w:t>《1844年经济学哲学手稿》中异化消费思想及启示</w:t>
      </w:r>
      <w:r>
        <w:rPr>
          <w:rFonts w:hint="eastAsia" w:cs="宋体"/>
          <w:b w:val="0"/>
          <w:bCs w:val="0"/>
          <w:i w:val="0"/>
          <w:iCs w:val="0"/>
          <w:caps w:val="0"/>
          <w:color w:val="auto"/>
          <w:spacing w:val="0"/>
          <w:sz w:val="28"/>
          <w:szCs w:val="28"/>
          <w:shd w:val="clear" w:fill="FFFFFF"/>
          <w:lang w:eastAsia="zh-CN"/>
        </w:rPr>
        <w:t>”</w:t>
      </w:r>
      <w:r>
        <w:rPr>
          <w:rFonts w:hint="eastAsia" w:cs="宋体"/>
          <w:b w:val="0"/>
          <w:bCs w:val="0"/>
          <w:i w:val="0"/>
          <w:iCs w:val="0"/>
          <w:caps w:val="0"/>
          <w:color w:val="auto"/>
          <w:spacing w:val="0"/>
          <w:sz w:val="28"/>
          <w:szCs w:val="28"/>
          <w:shd w:val="clear" w:fill="FFFFFF"/>
          <w:lang w:val="en-US" w:eastAsia="zh-CN"/>
        </w:rPr>
        <w:t>引用1次。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7.朱镜人论文：“</w:t>
      </w:r>
      <w:r>
        <w:rPr>
          <w:rFonts w:hint="eastAsia" w:ascii="宋体" w:hAnsi="宋体" w:eastAsia="宋体" w:cs="宋体"/>
          <w:b w:val="0"/>
          <w:bCs w:val="0"/>
          <w:i w:val="0"/>
          <w:iCs w:val="0"/>
          <w:caps w:val="0"/>
          <w:color w:val="333333"/>
          <w:spacing w:val="0"/>
          <w:sz w:val="28"/>
          <w:szCs w:val="28"/>
          <w:shd w:val="clear" w:fill="FFFFFF"/>
        </w:rPr>
        <w:t>英国“教生制”及“教生中心”兴衰研究</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8.朱镜人论文：“</w:t>
      </w:r>
      <w:r>
        <w:rPr>
          <w:rFonts w:hint="eastAsia" w:ascii="宋体" w:hAnsi="宋体" w:eastAsia="宋体" w:cs="宋体"/>
          <w:b w:val="0"/>
          <w:bCs w:val="0"/>
          <w:i w:val="0"/>
          <w:iCs w:val="0"/>
          <w:caps w:val="0"/>
          <w:color w:val="333333"/>
          <w:spacing w:val="0"/>
          <w:sz w:val="28"/>
          <w:szCs w:val="28"/>
          <w:shd w:val="clear" w:fill="FFFFFF"/>
        </w:rPr>
        <w:t>20世纪90年代初英国职前教师教育改革</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auto"/>
          <w:spacing w:val="0"/>
          <w:sz w:val="28"/>
          <w:szCs w:val="28"/>
          <w:u w:val="none"/>
          <w:shd w:val="clear" w:fill="FFFFFF"/>
          <w:lang w:val="en-US" w:eastAsia="zh-CN"/>
        </w:rPr>
        <w:t>9.</w:t>
      </w:r>
      <w:r>
        <w:rPr>
          <w:rFonts w:hint="eastAsia" w:ascii="宋体" w:hAnsi="宋体" w:eastAsia="宋体" w:cs="宋体"/>
          <w:b w:val="0"/>
          <w:bCs w:val="0"/>
          <w:i w:val="0"/>
          <w:iCs w:val="0"/>
          <w:caps w:val="0"/>
          <w:color w:val="auto"/>
          <w:spacing w:val="0"/>
          <w:sz w:val="28"/>
          <w:szCs w:val="28"/>
          <w:u w:val="none"/>
          <w:shd w:val="clear" w:fill="FFFFFF"/>
        </w:rPr>
        <w:t>翟荣兵</w:t>
      </w:r>
      <w:r>
        <w:rPr>
          <w:rFonts w:hint="eastAsia" w:cs="宋体"/>
          <w:b w:val="0"/>
          <w:bCs w:val="0"/>
          <w:i w:val="0"/>
          <w:iCs w:val="0"/>
          <w:caps w:val="0"/>
          <w:color w:val="auto"/>
          <w:spacing w:val="0"/>
          <w:sz w:val="28"/>
          <w:szCs w:val="28"/>
          <w:u w:val="none"/>
          <w:shd w:val="clear" w:fill="FFFFFF"/>
          <w:lang w:val="en-US" w:eastAsia="zh-CN"/>
        </w:rPr>
        <w:t>论文：“</w:t>
      </w:r>
      <w:r>
        <w:rPr>
          <w:rFonts w:hint="eastAsia" w:ascii="宋体" w:hAnsi="宋体" w:eastAsia="宋体" w:cs="宋体"/>
          <w:b w:val="0"/>
          <w:bCs w:val="0"/>
          <w:i w:val="0"/>
          <w:iCs w:val="0"/>
          <w:caps w:val="0"/>
          <w:color w:val="333333"/>
          <w:spacing w:val="0"/>
          <w:sz w:val="28"/>
          <w:szCs w:val="28"/>
          <w:shd w:val="clear" w:fill="FFFFFF"/>
        </w:rPr>
        <w:t>安徽新建本科高校经管类大学生创业能力培养研究——基于实践能力培养</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10.朱诵贵论文：“</w:t>
      </w:r>
      <w:r>
        <w:rPr>
          <w:rFonts w:hint="eastAsia" w:ascii="宋体" w:hAnsi="宋体" w:eastAsia="宋体" w:cs="宋体"/>
          <w:b w:val="0"/>
          <w:bCs w:val="0"/>
          <w:i w:val="0"/>
          <w:iCs w:val="0"/>
          <w:caps w:val="0"/>
          <w:color w:val="333333"/>
          <w:spacing w:val="0"/>
          <w:sz w:val="28"/>
          <w:szCs w:val="28"/>
          <w:shd w:val="clear" w:fill="FFFFFF"/>
        </w:rPr>
        <w:t>新建本科院校品牌文化建设中校园文化创意产品研发探讨</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引用7次。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eastAsia" w:cs="宋体"/>
          <w:b w:val="0"/>
          <w:bCs w:val="0"/>
          <w:i w:val="0"/>
          <w:iCs w:val="0"/>
          <w:caps w:val="0"/>
          <w:color w:val="333333"/>
          <w:spacing w:val="0"/>
          <w:sz w:val="28"/>
          <w:szCs w:val="28"/>
          <w:shd w:val="clear" w:fill="FFFFFF"/>
          <w:lang w:val="en-US" w:eastAsia="zh-CN"/>
        </w:rPr>
      </w:pPr>
      <w:r>
        <w:rPr>
          <w:rFonts w:hint="eastAsia" w:cs="宋体"/>
          <w:b w:val="0"/>
          <w:bCs w:val="0"/>
          <w:i w:val="0"/>
          <w:iCs w:val="0"/>
          <w:caps w:val="0"/>
          <w:color w:val="333333"/>
          <w:spacing w:val="0"/>
          <w:sz w:val="28"/>
          <w:szCs w:val="28"/>
          <w:shd w:val="clear" w:fill="FFFFFF"/>
          <w:lang w:val="en-US" w:eastAsia="zh-CN"/>
        </w:rPr>
        <w:t>11.程宏云论文：“</w:t>
      </w:r>
      <w:r>
        <w:rPr>
          <w:rFonts w:hint="eastAsia" w:ascii="宋体" w:hAnsi="宋体" w:eastAsia="宋体" w:cs="宋体"/>
          <w:b w:val="0"/>
          <w:bCs w:val="0"/>
          <w:i w:val="0"/>
          <w:iCs w:val="0"/>
          <w:caps w:val="0"/>
          <w:color w:val="333333"/>
          <w:spacing w:val="0"/>
          <w:sz w:val="28"/>
          <w:szCs w:val="28"/>
          <w:shd w:val="clear" w:fill="FFFFFF"/>
        </w:rPr>
        <w:t>美国大学通识教育理念的嬗变与实践探索</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12.陈洁论文：“</w:t>
      </w:r>
      <w:r>
        <w:rPr>
          <w:rFonts w:hint="eastAsia" w:ascii="宋体" w:hAnsi="宋体" w:eastAsia="宋体" w:cs="宋体"/>
          <w:b w:val="0"/>
          <w:bCs w:val="0"/>
          <w:i w:val="0"/>
          <w:iCs w:val="0"/>
          <w:caps w:val="0"/>
          <w:color w:val="333333"/>
          <w:spacing w:val="0"/>
          <w:sz w:val="28"/>
          <w:szCs w:val="28"/>
          <w:shd w:val="clear" w:fill="FFFFFF"/>
        </w:rPr>
        <w:t>体育艺术类选项课对大学生心理健康影响的研究</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引用5次。</w:t>
      </w:r>
    </w:p>
    <w:p>
      <w:pPr>
        <w:rPr>
          <w:rFonts w:hint="default"/>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pPr>
        <w:spacing w:after="156" w:afterLines="50"/>
        <w:ind w:firstLine="1500" w:firstLineChars="500"/>
        <w:jc w:val="left"/>
        <w:rPr>
          <w:rFonts w:hint="eastAsia" w:ascii="黑体" w:hAnsi="宋体" w:eastAsia="黑体"/>
          <w:color w:val="000000"/>
          <w:sz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142FB"/>
    <w:rsid w:val="0CB142FB"/>
    <w:rsid w:val="4A46549C"/>
    <w:rsid w:val="52406066"/>
    <w:rsid w:val="526E220A"/>
    <w:rsid w:val="752A36C3"/>
    <w:rsid w:val="7FC4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ind w:firstLine="340"/>
    </w:pPr>
    <w:rPr>
      <w:rFonts w:eastAsia="华文行楷"/>
      <w:b/>
      <w:bCs/>
      <w:color w:val="FF0000"/>
      <w:sz w:val="1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2021-11-26T10:36:00Z</dcterms:created>
  <dc:creator>Lenovo</dc:creator>
  <cp:lastModifiedBy>林斗秀</cp:lastModifiedBy>
  <dcterms:modified xsi:type="dcterms:W3CDTF">2022-02-15T02:03:32Z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3B6FCC7CD4444324B96553C549A271AF</vt:lpwstr>
  </property>
</Properties>
</file>