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jc w:val="center"/>
        <w:rPr>
          <w:rFonts w:ascii="楷体" w:hAnsi="楷体" w:eastAsia="楷体" w:cs="Times New Roman"/>
          <w:b/>
          <w:bCs/>
          <w:color w:val="FF0000"/>
          <w:sz w:val="92"/>
          <w:szCs w:val="92"/>
        </w:rPr>
      </w:pPr>
      <w:r>
        <w:rPr>
          <w:rFonts w:ascii="楷体" w:hAnsi="楷体" w:eastAsia="楷体" w:cs="Times New Roman"/>
          <w:b/>
          <w:bCs/>
          <w:color w:val="FF0000"/>
          <w:sz w:val="92"/>
          <w:szCs w:val="92"/>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5080</wp:posOffset>
                </wp:positionV>
                <wp:extent cx="2036445" cy="883920"/>
                <wp:effectExtent l="5080" t="4445" r="15875" b="698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036445" cy="883920"/>
                        </a:xfrm>
                        <a:prstGeom prst="rect">
                          <a:avLst/>
                        </a:prstGeom>
                        <a:solidFill>
                          <a:srgbClr val="FFFFFF"/>
                        </a:solidFill>
                        <a:ln w="9525">
                          <a:solidFill>
                            <a:srgbClr val="000000"/>
                          </a:solidFill>
                          <a:miter lim="800000"/>
                        </a:ln>
                        <a:effectLst/>
                      </wps:spPr>
                      <wps:txb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pt;margin-top:0.4pt;height:69.6pt;width:160.35pt;z-index:251661312;mso-width-relative:page;mso-height-relative:page;" fillcolor="#FFFFFF" filled="t" stroked="t" coordsize="21600,21600" o:gfxdata="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kRuZtcAAAAHAQAADwAAAAAAAAABACAA&#10;AAAiAAAAZHJzL2Rvd25yZXYueG1sUEsBAhQAFAAAAAgAh07iQE/GUtJHAgAAlQQAAA4AAAAAAAAA&#10;AQAgAAAAJgEAAGRycy9lMm9Eb2MueG1sUEsFBgAAAAAGAAYAWQEAAN8FAAAAAA==&#10;">
                <v:fill on="t" focussize="0,0"/>
                <v:stroke color="#000000" miterlimit="8" joinstyle="miter"/>
                <v:imagedata o:title=""/>
                <o:lock v:ext="edit" aspectratio="f"/>
                <v:textbo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v:textbox>
              </v:shape>
            </w:pict>
          </mc:Fallback>
        </mc:AlternateContent>
      </w:r>
    </w:p>
    <w:p>
      <w:pPr>
        <w:adjustRightInd w:val="0"/>
        <w:snapToGrid w:val="0"/>
        <w:spacing w:after="312" w:afterLines="100"/>
        <w:jc w:val="center"/>
        <w:rPr>
          <w:rFonts w:ascii="华文新魏" w:hAnsi="楷体" w:eastAsia="华文新魏" w:cs="Times New Roman"/>
          <w:b/>
          <w:bCs/>
          <w:color w:val="FF0000"/>
          <w:sz w:val="120"/>
          <w:szCs w:val="120"/>
        </w:rPr>
      </w:pPr>
      <w:r>
        <w:rPr>
          <w:rFonts w:ascii="华文新魏" w:hAnsi="楷体" w:eastAsia="华文新魏" w:cs="Times New Roman"/>
          <w:b/>
          <w:bCs/>
          <w:color w:val="FF0000"/>
          <w:sz w:val="120"/>
          <w:szCs w:val="120"/>
        </w:rPr>
        <mc:AlternateContent>
          <mc:Choice Requires="wps">
            <w:drawing>
              <wp:inline distT="0" distB="0" distL="0" distR="0">
                <wp:extent cx="5400675" cy="1209675"/>
                <wp:effectExtent l="0" t="0" r="0" b="0"/>
                <wp:docPr id="1" name="文本框 1"/>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675" cy="1209675"/>
                        </a:xfrm>
                        <a:prstGeom prst="rect">
                          <a:avLst/>
                        </a:prstGeom>
                      </wps:spPr>
                      <wps:txbx>
                        <w:txbxContent>
                          <w:p>
                            <w:pPr>
                              <w:pStyle w:val="4"/>
                              <w:spacing w:before="0" w:beforeAutospacing="0" w:after="0" w:afterAutospacing="0"/>
                              <w:jc w:val="center"/>
                            </w:pPr>
                            <w:r>
                              <w:rPr>
                                <w:rFonts w:hint="eastAsia"/>
                                <w:b/>
                                <w:bCs/>
                                <w:color w:val="FF0000"/>
                                <w:sz w:val="72"/>
                                <w:szCs w:val="72"/>
                                <w14:textOutline w14:w="9525" w14:cap="flat" w14:cmpd="sng" w14:algn="ctr">
                                  <w14:solidFill>
                                    <w14:srgbClr w14:val="FF0000"/>
                                  </w14:solidFill>
                                  <w14:prstDash w14:val="solid"/>
                                  <w14:round/>
                                </w14:textOutline>
                              </w:rPr>
                              <w:t>大学生素质教育研究中心成果简报</w:t>
                            </w:r>
                          </w:p>
                        </w:txbxContent>
                      </wps:txbx>
                      <wps:bodyPr wrap="square" numCol="1" fromWordArt="1">
                        <a:prstTxWarp prst="textPlain">
                          <a:avLst>
                            <a:gd name="adj" fmla="val 50000"/>
                          </a:avLst>
                        </a:prstTxWarp>
                        <a:spAutoFit/>
                      </wps:bodyPr>
                    </wps:wsp>
                  </a:graphicData>
                </a:graphic>
              </wp:inline>
            </w:drawing>
          </mc:Choice>
          <mc:Fallback>
            <w:pict>
              <v:shape id="_x0000_s1026" o:spid="_x0000_s1026" o:spt="202" type="#_x0000_t202" style="height:95.25pt;width:425.25pt;" filled="f" stroked="f" coordsize="21600,21600" o:gfxdata="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ZfnM9QAAAAF&#10;AQAADwAAAAAAAAABACAAAAAiAAAAZHJzL2Rvd25yZXYueG1sUEsBAhQAFAAAAAgAh07iQJT9CTYg&#10;AgAAKgQAAA4AAAAAAAAAAQAgAAAAIwEAAGRycy9lMm9Eb2MueG1sUEsFBgAAAAAGAAYAWQEAALUF&#10;AAAAAA==&#10;" adj="10800">
                <v:fill on="f" focussize="0,0"/>
                <v:stroke on="f"/>
                <v:imagedata o:title=""/>
                <o:lock v:ext="edit" text="t" aspectratio="f"/>
                <v:textbox style="mso-fit-shape-to-text:t;">
                  <w:txbxContent>
                    <w:p>
                      <w:pPr>
                        <w:pStyle w:val="4"/>
                        <w:spacing w:before="0" w:beforeAutospacing="0" w:after="0" w:afterAutospacing="0"/>
                        <w:jc w:val="center"/>
                      </w:pPr>
                      <w:r>
                        <w:rPr>
                          <w:rFonts w:hint="eastAsia"/>
                          <w:b/>
                          <w:bCs/>
                          <w:color w:val="FF0000"/>
                          <w:sz w:val="72"/>
                          <w:szCs w:val="72"/>
                          <w14:textOutline w14:w="9525" w14:cap="flat" w14:cmpd="sng" w14:algn="ctr">
                            <w14:solidFill>
                              <w14:srgbClr w14:val="FF0000"/>
                            </w14:solidFill>
                            <w14:prstDash w14:val="solid"/>
                            <w14:round/>
                          </w14:textOutline>
                        </w:rPr>
                        <w:t>大学生素质教育研究中心成果简报</w:t>
                      </w:r>
                    </w:p>
                  </w:txbxContent>
                </v:textbox>
                <w10:wrap type="none"/>
                <w10:anchorlock/>
              </v:shape>
            </w:pict>
          </mc:Fallback>
        </mc:AlternateContent>
      </w:r>
    </w:p>
    <w:p>
      <w:pPr>
        <w:adjustRightInd w:val="0"/>
        <w:snapToGrid w:val="0"/>
        <w:spacing w:after="312" w:afterLines="100" w:line="240" w:lineRule="atLeast"/>
        <w:jc w:val="center"/>
        <w:rPr>
          <w:rFonts w:ascii="黑体" w:hAnsi="华文中宋" w:eastAsia="黑体" w:cs="Times New Roman"/>
          <w:b/>
          <w:bCs/>
          <w:color w:val="000000"/>
          <w:sz w:val="10"/>
          <w:szCs w:val="10"/>
        </w:rPr>
      </w:pPr>
    </w:p>
    <w:p>
      <w:pPr>
        <w:adjustRightInd w:val="0"/>
        <w:snapToGrid w:val="0"/>
        <w:spacing w:after="312" w:afterLines="100" w:line="240" w:lineRule="atLeast"/>
        <w:jc w:val="center"/>
        <w:rPr>
          <w:rFonts w:ascii="黑体" w:hAnsi="华文中宋" w:eastAsia="黑体" w:cs="Times New Roman"/>
          <w:b/>
          <w:bCs/>
          <w:color w:val="000000"/>
          <w:sz w:val="36"/>
          <w:szCs w:val="24"/>
        </w:rPr>
      </w:pPr>
      <w:r>
        <w:rPr>
          <w:rFonts w:hint="eastAsia" w:ascii="黑体" w:hAnsi="华文中宋" w:eastAsia="黑体" w:cs="Times New Roman"/>
          <w:b/>
          <w:bCs/>
          <w:color w:val="000000"/>
          <w:sz w:val="36"/>
          <w:szCs w:val="24"/>
        </w:rPr>
        <w:t>20</w:t>
      </w:r>
      <w:r>
        <w:rPr>
          <w:rFonts w:hint="eastAsia" w:ascii="黑体" w:hAnsi="华文中宋" w:eastAsia="黑体" w:cs="Times New Roman"/>
          <w:b/>
          <w:bCs/>
          <w:color w:val="000000"/>
          <w:sz w:val="36"/>
          <w:szCs w:val="24"/>
          <w:lang w:val="en-US" w:eastAsia="zh-CN"/>
        </w:rPr>
        <w:t>17</w:t>
      </w:r>
      <w:r>
        <w:rPr>
          <w:rFonts w:hint="eastAsia" w:ascii="黑体" w:hAnsi="华文中宋" w:eastAsia="黑体" w:cs="Times New Roman"/>
          <w:b/>
          <w:bCs/>
          <w:color w:val="000000"/>
          <w:sz w:val="36"/>
          <w:szCs w:val="24"/>
        </w:rPr>
        <w:t>年第1期</w:t>
      </w:r>
      <w:r>
        <w:rPr>
          <w:rFonts w:hint="eastAsia" w:ascii="黑体" w:hAnsi="华文中宋" w:eastAsia="黑体" w:cs="Times New Roman"/>
          <w:b/>
          <w:bCs/>
          <w:color w:val="FF0000"/>
          <w:sz w:val="36"/>
          <w:szCs w:val="24"/>
        </w:rPr>
        <w:t>(总第</w:t>
      </w:r>
      <w:r>
        <w:rPr>
          <w:rFonts w:hint="eastAsia" w:ascii="黑体" w:hAnsi="华文中宋" w:eastAsia="黑体" w:cs="Times New Roman"/>
          <w:b/>
          <w:bCs/>
          <w:color w:val="FF0000"/>
          <w:sz w:val="36"/>
          <w:szCs w:val="24"/>
          <w:lang w:val="en-US" w:eastAsia="zh-CN"/>
        </w:rPr>
        <w:t>9</w:t>
      </w:r>
      <w:r>
        <w:rPr>
          <w:rFonts w:hint="eastAsia" w:ascii="黑体" w:hAnsi="华文中宋" w:eastAsia="黑体" w:cs="Times New Roman"/>
          <w:b/>
          <w:bCs/>
          <w:color w:val="FF0000"/>
          <w:sz w:val="36"/>
          <w:szCs w:val="24"/>
        </w:rPr>
        <w:t>期)</w:t>
      </w:r>
    </w:p>
    <w:p>
      <w:pPr>
        <w:adjustRightInd w:val="0"/>
        <w:snapToGrid w:val="0"/>
        <w:spacing w:after="249" w:afterLines="80"/>
        <w:rPr>
          <w:rFonts w:ascii="黑体" w:hAnsi="Times New Roman" w:eastAsia="黑体" w:cs="Times New Roman"/>
          <w:sz w:val="28"/>
          <w:szCs w:val="24"/>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271145</wp:posOffset>
                </wp:positionV>
                <wp:extent cx="5705475" cy="0"/>
                <wp:effectExtent l="0" t="13970" r="9525" b="2413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cmpd="sng">
                          <a:solidFill>
                            <a:srgbClr val="FF0000"/>
                          </a:solidFill>
                          <a:round/>
                        </a:ln>
                      </wps:spPr>
                      <wps:bodyPr/>
                    </wps:wsp>
                  </a:graphicData>
                </a:graphic>
              </wp:anchor>
            </w:drawing>
          </mc:Choice>
          <mc:Fallback>
            <w:pict>
              <v:line id="_x0000_s1026" o:spid="_x0000_s1026" o:spt="20" style="position:absolute;left:0pt;margin-left:-12pt;margin-top:21.35pt;height:0pt;width:449.25pt;z-index:251660288;mso-width-relative:page;mso-height-relative:page;" filled="f" stroked="t" coordsize="21600,21600" o:gfxdata="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Q1+M9gAAAAJAQAADwAAAAAAAAABACAAAAAiAAAAZHJzL2Rvd25yZXYueG1sUEsBAhQAFAAAAAgA&#10;h07iQIRX8nXsAQAAtgMAAA4AAAAAAAAAAQAgAAAAJwEAAGRycy9lMm9Eb2MueG1sUEsFBgAAAAAG&#10;AAYAWQEAAIUFAAAAAA==&#10;">
                <v:fill on="f" focussize="0,0"/>
                <v:stroke weight="2.25pt" color="#FF0000" joinstyle="round"/>
                <v:imagedata o:title=""/>
                <o:lock v:ext="edit" aspectratio="f"/>
              </v:line>
            </w:pict>
          </mc:Fallback>
        </mc:AlternateContent>
      </w:r>
      <w:r>
        <w:rPr>
          <w:rFonts w:hint="eastAsia" w:ascii="黑体" w:hAnsi="Times New Roman" w:eastAsia="黑体" w:cs="Times New Roman"/>
          <w:sz w:val="28"/>
          <w:szCs w:val="24"/>
        </w:rPr>
        <w:t>安徽新华学院大学生素质教育研究中心编          20</w:t>
      </w:r>
      <w:r>
        <w:rPr>
          <w:rFonts w:hint="eastAsia" w:ascii="黑体" w:hAnsi="Times New Roman" w:eastAsia="黑体" w:cs="Times New Roman"/>
          <w:sz w:val="28"/>
          <w:szCs w:val="24"/>
          <w:lang w:val="en-US" w:eastAsia="zh-CN"/>
        </w:rPr>
        <w:t>17</w:t>
      </w:r>
      <w:r>
        <w:rPr>
          <w:rFonts w:hint="eastAsia" w:ascii="黑体" w:hAnsi="Times New Roman" w:eastAsia="黑体" w:cs="Times New Roman"/>
          <w:sz w:val="28"/>
          <w:szCs w:val="24"/>
        </w:rPr>
        <w:t>年</w:t>
      </w:r>
      <w:r>
        <w:rPr>
          <w:rFonts w:hint="eastAsia" w:ascii="黑体" w:hAnsi="Times New Roman" w:eastAsia="黑体" w:cs="Times New Roman"/>
          <w:sz w:val="28"/>
          <w:szCs w:val="24"/>
          <w:lang w:val="en-US" w:eastAsia="zh-CN"/>
        </w:rPr>
        <w:t>6</w:t>
      </w:r>
      <w:r>
        <w:rPr>
          <w:rFonts w:hint="eastAsia" w:ascii="黑体" w:hAnsi="Times New Roman" w:eastAsia="黑体" w:cs="Times New Roman"/>
          <w:sz w:val="28"/>
          <w:szCs w:val="24"/>
        </w:rPr>
        <w:t>月</w:t>
      </w:r>
    </w:p>
    <w:p>
      <w:pPr>
        <w:adjustRightInd w:val="0"/>
        <w:snapToGrid w:val="0"/>
        <w:spacing w:after="249" w:afterLines="80"/>
        <w:rPr>
          <w:rFonts w:ascii="Times New Roman" w:hAnsi="Times New Roman" w:eastAsia="黑体" w:cs="Times New Roman"/>
          <w:b/>
          <w:bCs/>
          <w:color w:val="FF0000"/>
          <w:sz w:val="32"/>
          <w:szCs w:val="24"/>
        </w:rPr>
      </w:pPr>
      <w:r>
        <w:rPr>
          <w:rFonts w:hint="eastAsia" w:ascii="Times New Roman" w:hAnsi="Times New Roman" w:eastAsia="黑体" w:cs="Times New Roman"/>
          <w:b/>
          <w:bCs/>
          <w:color w:val="FF0000"/>
          <w:sz w:val="32"/>
          <w:szCs w:val="24"/>
        </w:rPr>
        <w:t xml:space="preserve">  </w:t>
      </w:r>
    </w:p>
    <w:p>
      <w:pPr>
        <w:adjustRightInd w:val="0"/>
        <w:snapToGrid w:val="0"/>
        <w:spacing w:after="249" w:afterLines="80"/>
        <w:jc w:val="center"/>
        <w:rPr>
          <w:rFonts w:ascii="Times New Roman" w:hAnsi="Times New Roman" w:eastAsia="黑体" w:cs="Times New Roman"/>
          <w:b/>
          <w:bCs/>
          <w:color w:val="000000"/>
          <w:sz w:val="32"/>
          <w:szCs w:val="24"/>
        </w:rPr>
      </w:pPr>
      <w:r>
        <w:rPr>
          <w:rFonts w:hint="eastAsia" w:ascii="Times New Roman" w:hAnsi="Times New Roman" w:eastAsia="黑体" w:cs="Times New Roman"/>
          <w:color w:val="000000"/>
          <w:sz w:val="44"/>
          <w:szCs w:val="24"/>
        </w:rPr>
        <w:t>本期目录</w:t>
      </w:r>
    </w:p>
    <w:p>
      <w:pPr>
        <w:spacing w:after="156" w:afterLines="50"/>
        <w:ind w:firstLine="750" w:firstLineChars="250"/>
        <w:jc w:val="left"/>
        <w:rPr>
          <w:rFonts w:ascii="黑体" w:hAnsi="宋体" w:eastAsia="黑体" w:cs="Times New Roman"/>
          <w:color w:val="000000"/>
          <w:sz w:val="30"/>
          <w:szCs w:val="24"/>
        </w:rPr>
      </w:pPr>
    </w:p>
    <w:p>
      <w:pPr>
        <w:spacing w:after="156" w:afterLines="50"/>
        <w:ind w:firstLine="1500" w:firstLineChars="500"/>
        <w:jc w:val="left"/>
        <w:rPr>
          <w:rFonts w:hint="eastAsia" w:ascii="黑体" w:hAnsi="宋体" w:eastAsia="黑体" w:cs="Times New Roman"/>
          <w:color w:val="000000"/>
          <w:sz w:val="30"/>
          <w:szCs w:val="24"/>
        </w:rPr>
      </w:pPr>
      <w:r>
        <w:rPr>
          <w:rFonts w:hint="eastAsia" w:ascii="黑体" w:hAnsi="宋体" w:eastAsia="黑体" w:cs="Times New Roman"/>
          <w:color w:val="000000"/>
          <w:sz w:val="30"/>
          <w:szCs w:val="24"/>
        </w:rPr>
        <w:t>●成果摘要</w:t>
      </w:r>
    </w:p>
    <w:p>
      <w:pPr>
        <w:spacing w:after="156" w:afterLines="50"/>
        <w:ind w:firstLine="1500" w:firstLineChars="500"/>
        <w:jc w:val="left"/>
        <w:rPr>
          <w:rFonts w:hint="eastAsia" w:ascii="黑体" w:hAnsi="宋体" w:eastAsia="黑体" w:cs="Times New Roman"/>
          <w:color w:val="000000"/>
          <w:sz w:val="30"/>
          <w:szCs w:val="24"/>
        </w:rPr>
      </w:pPr>
      <w:bookmarkStart w:id="0" w:name="_GoBack"/>
      <w:bookmarkEnd w:id="0"/>
    </w:p>
    <w:p>
      <w:pPr>
        <w:spacing w:after="156" w:afterLines="50"/>
        <w:ind w:firstLine="1500" w:firstLineChars="500"/>
        <w:jc w:val="left"/>
        <w:rPr>
          <w:rFonts w:ascii="黑体" w:hAnsi="Times New Roman" w:eastAsia="黑体" w:cs="Times New Roman"/>
          <w:color w:val="000000"/>
          <w:sz w:val="30"/>
          <w:szCs w:val="24"/>
        </w:rPr>
      </w:pPr>
      <w:r>
        <w:rPr>
          <w:rFonts w:hint="eastAsia" w:ascii="黑体" w:hAnsi="宋体" w:eastAsia="黑体" w:cs="Times New Roman"/>
          <w:color w:val="000000"/>
          <w:sz w:val="30"/>
          <w:szCs w:val="24"/>
        </w:rPr>
        <w:t>●转载引用</w:t>
      </w:r>
    </w:p>
    <w:p>
      <w:pPr>
        <w:spacing w:after="156" w:afterLines="50"/>
        <w:ind w:firstLine="1500" w:firstLineChars="500"/>
        <w:jc w:val="left"/>
        <w:rPr>
          <w:rFonts w:ascii="黑体" w:hAnsi="宋体" w:eastAsia="黑体" w:cs="Times New Roman"/>
          <w:color w:val="000000"/>
          <w:sz w:val="30"/>
          <w:szCs w:val="30"/>
        </w:rPr>
      </w:pPr>
    </w:p>
    <w:p>
      <w:pPr>
        <w:spacing w:after="156" w:afterLines="50"/>
        <w:ind w:firstLine="1500" w:firstLineChars="500"/>
        <w:jc w:val="left"/>
        <w:rPr>
          <w:rFonts w:ascii="黑体" w:hAnsi="宋体" w:eastAsia="黑体" w:cs="Times New Roman"/>
          <w:color w:val="000000"/>
          <w:sz w:val="30"/>
          <w:szCs w:val="30"/>
        </w:rPr>
      </w:pPr>
    </w:p>
    <w:p>
      <w:pPr>
        <w:spacing w:after="156" w:afterLines="50"/>
        <w:ind w:firstLine="1500" w:firstLineChars="500"/>
        <w:jc w:val="left"/>
        <w:rPr>
          <w:rFonts w:ascii="黑体" w:hAnsi="宋体" w:eastAsia="黑体" w:cs="Times New Roman"/>
          <w:color w:val="000000"/>
          <w:sz w:val="30"/>
          <w:szCs w:val="30"/>
        </w:rPr>
      </w:pPr>
    </w:p>
    <w:p>
      <w:pPr>
        <w:spacing w:after="156" w:afterLines="50"/>
        <w:ind w:firstLine="1500" w:firstLineChars="500"/>
        <w:jc w:val="left"/>
        <w:rPr>
          <w:rFonts w:ascii="黑体" w:hAnsi="宋体" w:eastAsia="黑体" w:cs="Times New Roman"/>
          <w:color w:val="000000"/>
          <w:sz w:val="30"/>
          <w:szCs w:val="30"/>
        </w:rPr>
      </w:pPr>
    </w:p>
    <w:p>
      <w:pPr>
        <w:spacing w:after="156" w:afterLines="50"/>
        <w:jc w:val="left"/>
        <w:rPr>
          <w:rFonts w:ascii="黑体" w:hAnsi="宋体" w:eastAsia="黑体" w:cs="Times New Roman"/>
          <w:color w:val="000000"/>
          <w:sz w:val="30"/>
          <w:szCs w:val="24"/>
        </w:rPr>
      </w:pPr>
    </w:p>
    <w:tbl>
      <w:tblPr>
        <w:tblStyle w:val="5"/>
        <w:tblpPr w:leftFromText="180" w:rightFromText="180" w:vertAnchor="text" w:horzAnchor="margin" w:tblpY="200"/>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hint="eastAsia" w:ascii="宋体" w:hAnsi="宋体" w:eastAsia="宋体" w:cs="Times New Roman"/>
                <w:b/>
                <w:sz w:val="30"/>
                <w:szCs w:val="30"/>
              </w:rPr>
            </w:pPr>
            <w:r>
              <w:rPr>
                <w:rFonts w:hint="eastAsia" w:ascii="宋体" w:hAnsi="宋体" w:eastAsia="宋体" w:cs="Times New Roman"/>
                <w:b/>
                <w:sz w:val="30"/>
                <w:szCs w:val="30"/>
              </w:rPr>
              <w:t>成果摘要</w:t>
            </w:r>
          </w:p>
        </w:tc>
      </w:tr>
    </w:tbl>
    <w:p>
      <w:pPr>
        <w:spacing w:after="156" w:afterLines="50"/>
        <w:jc w:val="left"/>
        <w:rPr>
          <w:rFonts w:ascii="黑体" w:hAnsi="宋体" w:eastAsia="黑体" w:cs="Times New Roman"/>
          <w:color w:val="000000"/>
          <w:sz w:val="30"/>
          <w:szCs w:val="24"/>
        </w:rPr>
      </w:pPr>
    </w:p>
    <w:p>
      <w:pPr>
        <w:spacing w:after="156" w:afterLines="50"/>
        <w:jc w:val="left"/>
        <w:rPr>
          <w:rFonts w:ascii="黑体" w:hAnsi="宋体" w:eastAsia="黑体" w:cs="Times New Roman"/>
          <w:color w:val="000000"/>
          <w:sz w:val="30"/>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val="0"/>
          <w:bCs w:val="0"/>
          <w:color w:val="333333"/>
          <w:sz w:val="21"/>
          <w:szCs w:val="21"/>
        </w:rPr>
      </w:pPr>
      <w:r>
        <w:rPr>
          <w:rFonts w:hint="eastAsia" w:ascii="宋体" w:hAnsi="宋体" w:eastAsia="宋体" w:cs="宋体"/>
          <w:b/>
          <w:bCs/>
          <w:i w:val="0"/>
          <w:iCs w:val="0"/>
          <w:caps w:val="0"/>
          <w:color w:val="333333"/>
          <w:spacing w:val="0"/>
          <w:sz w:val="28"/>
          <w:szCs w:val="28"/>
          <w:shd w:val="clear" w:fill="FFFFFF"/>
        </w:rPr>
        <w:t>英国工业发展对大学的影响（1850—1914）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朱镜人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1850年至1914年间,英国工业发展对大学产生影响的背景有两个特征:之一,工业劳动力人口激增,高科技人才数量不足;之二,工业结构转型,呈上升趋势的行业技术含量高。英国工业的发展促使大学开设了一批应用学科和课程,促进了大学对纯理论学科和课程进行改革,凸显学科内容的应用性,促进大学加强与企业的合作;工业的发展促使企业家重视和支持大学教育,为古典大学的毕业生开拓了新的就业渠道,并使企业成为城市学院毕业生就业的主渠道。这一时期,工业界主动地发挥着对大学的影响。英国工业发展对大学的影响印证了一个重要原理,即现代工业与现代大学存在着相互依存的逻辑关系,两者相辅相成,企业不仅需要专门科技人才,也需要一定数量的人文和社会科学人才。</w:t>
      </w:r>
    </w:p>
    <w:p>
      <w:pPr>
        <w:spacing w:after="156" w:afterLines="50"/>
        <w:jc w:val="left"/>
        <w:rPr>
          <w:rFonts w:ascii="黑体" w:hAnsi="宋体" w:eastAsia="黑体" w:cs="Times New Roman"/>
          <w:color w:val="000000"/>
          <w:sz w:val="30"/>
          <w:szCs w:val="24"/>
        </w:rPr>
      </w:pPr>
    </w:p>
    <w:p>
      <w:pPr>
        <w:spacing w:after="156" w:afterLines="50"/>
        <w:jc w:val="left"/>
        <w:rPr>
          <w:rFonts w:ascii="黑体" w:hAnsi="宋体" w:eastAsia="黑体" w:cs="Times New Roman"/>
          <w:color w:val="000000"/>
          <w:sz w:val="30"/>
          <w:szCs w:val="24"/>
        </w:rPr>
      </w:pPr>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英美大学通识教育目的与模式的比较及启示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殷冬玲</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西方大学通识教育的历史演进以英国和美国大学为主流。比较英国大学与美国大学通识教育的理念与实践,异同并存:在目的演进上都是从关注心智的陶冶到公民的养成;在教育模式上,英国大学采取隐性教育方式,而美国大学独设显性课程模式。两国通识教育在教育目的和教育模式上的异同之处,对我国大学开展通识教育的实践具有一定的借鉴意义。 </w:t>
      </w: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val="0"/>
          <w:bCs w:val="0"/>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val="0"/>
          <w:bCs w:val="0"/>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val="0"/>
          <w:bCs w:val="0"/>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val="0"/>
          <w:bCs w:val="0"/>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基于提高大学生素质的美育实践与探索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王晓俊</w:t>
      </w:r>
      <w:r>
        <w:rPr>
          <w:rFonts w:hint="eastAsia" w:cs="宋体"/>
          <w:b/>
          <w:bCs/>
          <w:i w:val="0"/>
          <w:iCs w:val="0"/>
          <w:caps w:val="0"/>
          <w:color w:val="auto"/>
          <w:spacing w:val="0"/>
          <w:sz w:val="21"/>
          <w:szCs w:val="21"/>
          <w:u w:val="none"/>
          <w:shd w:val="clear" w:fill="FFFFFF"/>
          <w:lang w:val="en-US" w:eastAsia="zh-CN"/>
        </w:rPr>
        <w:t xml:space="preserve"> </w:t>
      </w:r>
      <w:r>
        <w:rPr>
          <w:rFonts w:hint="eastAsia" w:ascii="宋体" w:hAnsi="宋体" w:eastAsia="宋体" w:cs="宋体"/>
          <w:b/>
          <w:bCs/>
          <w:i w:val="0"/>
          <w:iCs w:val="0"/>
          <w:caps w:val="0"/>
          <w:color w:val="auto"/>
          <w:spacing w:val="0"/>
          <w:sz w:val="21"/>
          <w:szCs w:val="21"/>
          <w:u w:val="none"/>
          <w:shd w:val="clear" w:fill="FFFFFF"/>
        </w:rPr>
        <w:t>许梅</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美育作为一种精神层次上的素质教育,在高等教育体系中具有重要的作用,是大学生提高综合素质的重要途径。随着知识经济时代的到来,通过美育提升大学生综合能力是当前高校素质教育的重要发展方向。本文通过美育与大学生素质教育的关系,分析当前高校大学生美育的现状,尝试论述美育在大学生素质教育中的作用,对当前大学生美育的教育思路和实施构建进行探析,力求通过"以美传情"、"以美促行"、"以美激创"、"以美示范"的美育思路,提高大学生的审美能力,实现大学生的全面和谐发展。 </w:t>
      </w:r>
    </w:p>
    <w:p/>
    <w:p/>
    <w:p/>
    <w:p/>
    <w:p/>
    <w:p/>
    <w:p>
      <w:pPr>
        <w:rPr>
          <w:b/>
          <w:bCs/>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基于‘大众创业 万众创新’背景下民办高校创业型人才培养的研究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哈静</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通过在全社会实施"大众创业、万众创新"战略,充分挖掘我国各阶层人民的创新潜能和创业活力。在我国,虽然一直在强调创新和创业的教育与引导,但创新和创业理念并没有深入民办高校教育体系中,鼓励创新、支持创业的体系建设还不够完善。"大众创业、万众创新"的提出,对民办高校人才培养提出了新的要求,带动高校人才关注创新,引领高校人才主动创业,教导高校人才的创业技能,为高校人才的创业提供各种机会,让高校人才能够创业成功。 </w:t>
      </w:r>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安徽省地方政府债务风险评价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王磊谢明柱</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2009年我国地方政府重启债务发行工作以来,各级地方政府债务规模在逐年扩大。在经济发展新模式下,导致地方政府债务扩大的原因也变得多样化。地方政府债务总量快速增长导致其偿债压力越来越大,面临的信用风险也在逐步增加。本文通过分析导致地方政府债务风险增加的原因,运用KMV模型对安徽省地方政府债务风险进行合理评估并指出当前安徽省政府债务风险等级。 </w:t>
      </w:r>
    </w:p>
    <w:p>
      <w:pPr>
        <w:rPr>
          <w:rFonts w:hint="eastAsia" w:ascii="宋体" w:hAnsi="宋体" w:eastAsia="宋体" w:cs="宋体"/>
          <w:sz w:val="21"/>
          <w:szCs w:val="21"/>
        </w:rPr>
      </w:pPr>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体验式教学对大学生创新能力培养的实践研究——以安徽新华学院大众传播学课程为例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陈琳</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大学生创新能力的培养与提升现今已成为诸多高校的重要任务.安徽新华学院作为全国知名民办大学,多年来一直注重对大学生创新能力的培养,积淀了注重创新素质培养的传统.本文以当前较为流行的MOOC（大规模在线开放课程）在大众传播学教学中实际应用作为实践体验式教学的手段,首先进行了MOOC体验式教学法的理论建构研究,进而对MOOC体验式教学法设计方案、课堂实施环节以及对大学生创新能力的实际效果进行研究. </w:t>
      </w:r>
    </w:p>
    <w:p>
      <w:pPr>
        <w:keepNext w:val="0"/>
        <w:keepLines w:val="0"/>
        <w:pageBreakBefore w:val="0"/>
        <w:kinsoku/>
        <w:wordWrap/>
        <w:overflowPunct/>
        <w:topLinePunct w:val="0"/>
        <w:autoSpaceDE/>
        <w:autoSpaceDN/>
        <w:bidi w:val="0"/>
        <w:adjustRightInd/>
        <w:snapToGrid/>
        <w:spacing w:line="360" w:lineRule="auto"/>
        <w:textAlignment w:val="auto"/>
      </w:pPr>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体验式教学在应用型高校职业规划及就业课程中的应用探析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赵影</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知识经济时代竞争激烈,高校就业形势严峻;应用型高校以培养应用型人才为目标,要求创新教学内容及方法,提高大学生的就业创业实践能力.体验式教学方法是在互动教学气氛中,使得大学生获得知识和情感体验,相比较传统教学模式,能够激发学生学习的主动性、积极性、实践性,具有实际效用.体验式学习模式要在职业规划及就业指导课中有一些具体的应用,如倾听与分享、咨询、催化、迁移、点化、解剖、户外等技术.本文对此进行了分析探讨. </w:t>
      </w:r>
    </w:p>
    <w:p>
      <w:pPr>
        <w:keepNext w:val="0"/>
        <w:keepLines w:val="0"/>
        <w:pageBreakBefore w:val="0"/>
        <w:kinsoku/>
        <w:wordWrap/>
        <w:overflowPunct/>
        <w:topLinePunct w:val="0"/>
        <w:autoSpaceDE/>
        <w:autoSpaceDN/>
        <w:bidi w:val="0"/>
        <w:adjustRightInd/>
        <w:snapToGrid/>
        <w:spacing w:line="360" w:lineRule="auto"/>
        <w:textAlignment w:val="auto"/>
      </w:pPr>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《人间词》的意象微探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李倩</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人间词》是清末民初著名词学家王国维先生在1904至1920这17年中词作。他的词作中包含着"忧生"和"忧世"的思想,其词学思想和创作风格都具有较强的研究价值。本文对《人间词》中的悲情意象进行分类,从人物意象、景物意象、颜色意象、时间意象、情感色彩意象分析其词悲情意象的创作特色和艺术特征,揭示出词人内心情感世界以及强烈的现实愿望。 </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口才学原则与现代婚礼主持词研究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王群芳</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口才有其自身的科学规律,诸如口才的特征、技巧和原则。口才学原则分为口才的目的性原则、对象性原则、时空性原则和真切性原则。婚礼主持人应有完美的人格、广博的知识、成熟的心理状态,自觉运用口才学原则,实现动机与效果的统一、合规律性与合目的性的统一,用爱发声,用情归音,促进我国婚礼文化的健康发展。 </w:t>
      </w:r>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基于在线微课程的综合实践项目教学研究——以《电视节目制作》课程为例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许如聪</w:t>
      </w:r>
      <w:r>
        <w:rPr>
          <w:rFonts w:hint="eastAsia" w:cs="宋体"/>
          <w:b/>
          <w:bCs/>
          <w:i w:val="0"/>
          <w:iCs w:val="0"/>
          <w:caps w:val="0"/>
          <w:color w:val="auto"/>
          <w:spacing w:val="0"/>
          <w:sz w:val="21"/>
          <w:szCs w:val="21"/>
          <w:u w:val="none"/>
          <w:shd w:val="clear" w:fill="FFFFFF"/>
          <w:lang w:val="en-US" w:eastAsia="zh-CN"/>
        </w:rPr>
        <w:t xml:space="preserve"> </w:t>
      </w:r>
      <w:r>
        <w:rPr>
          <w:rFonts w:hint="eastAsia" w:ascii="宋体" w:hAnsi="宋体" w:eastAsia="宋体" w:cs="宋体"/>
          <w:b/>
          <w:bCs/>
          <w:i w:val="0"/>
          <w:iCs w:val="0"/>
          <w:caps w:val="0"/>
          <w:color w:val="auto"/>
          <w:spacing w:val="0"/>
          <w:sz w:val="21"/>
          <w:szCs w:val="21"/>
          <w:u w:val="none"/>
          <w:shd w:val="clear" w:fill="FFFFFF"/>
        </w:rPr>
        <w:t>曹良亮</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文章从教学实践出发,以《电视节目制作》课程为例,提出了在教学中通过开展综合实践项目的方法来提高学生的实践能力.其核心思想是改变原有的理论课教学加实验课练习的教学模式,将微课程应用于教学来培养学生的实践能力.综合实践项目的教学形式通过创设真实的工作情境,应用微课程技术提供在线的学习资源支持服务,以学习者为中心开展实践活动,引导学生在实践项目中自主的通过精炼的微课程学习相关理论和具体操作技能,并在实践项目中学会应用所学知识技能来分析问题和解决问题,从而达到培养学生实践能力的目的. </w:t>
      </w:r>
    </w:p>
    <w:p>
      <w:pPr>
        <w:keepNext w:val="0"/>
        <w:keepLines w:val="0"/>
        <w:pageBreakBefore w:val="0"/>
        <w:kinsoku/>
        <w:wordWrap/>
        <w:overflowPunct/>
        <w:topLinePunct w:val="0"/>
        <w:autoSpaceDE/>
        <w:autoSpaceDN/>
        <w:bidi w:val="0"/>
        <w:adjustRightInd/>
        <w:snapToGrid/>
        <w:spacing w:line="360" w:lineRule="auto"/>
        <w:textAlignment w:val="auto"/>
      </w:pPr>
    </w:p>
    <w:p/>
    <w:p/>
    <w:p/>
    <w:p/>
    <w:p/>
    <w:p/>
    <w:p/>
    <w:p/>
    <w:p/>
    <w:p/>
    <w:p/>
    <w:p/>
    <w:p/>
    <w:p/>
    <w:p/>
    <w:p/>
    <w:p/>
    <w:p/>
    <w:p/>
    <w:p/>
    <w:tbl>
      <w:tblPr>
        <w:tblStyle w:val="5"/>
        <w:tblpPr w:leftFromText="180" w:rightFromText="180" w:vertAnchor="text" w:horzAnchor="page" w:tblpX="1923" w:tblpY="313"/>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ascii="宋体" w:hAnsi="宋体" w:eastAsia="宋体" w:cs="Times New Roman"/>
                <w:b/>
                <w:sz w:val="30"/>
                <w:szCs w:val="30"/>
              </w:rPr>
            </w:pPr>
            <w:r>
              <w:rPr>
                <w:rFonts w:hint="eastAsia" w:ascii="宋体" w:hAnsi="宋体" w:eastAsia="宋体" w:cs="Times New Roman"/>
                <w:b/>
                <w:sz w:val="30"/>
                <w:szCs w:val="30"/>
              </w:rPr>
              <w:t>转载引用</w:t>
            </w:r>
          </w:p>
        </w:tc>
      </w:tr>
    </w:tbl>
    <w:p/>
    <w:p/>
    <w:p/>
    <w:p/>
    <w:p>
      <w:pPr>
        <w:jc w:val="left"/>
        <w:rPr>
          <w:rFonts w:hint="default" w:eastAsia="宋体"/>
          <w:b w:val="0"/>
          <w:bCs w:val="0"/>
          <w:lang w:val="en-US" w:eastAsia="zh-CN"/>
        </w:rPr>
      </w:pPr>
      <w:r>
        <w:rPr>
          <w:rFonts w:hint="eastAsia" w:ascii="宋体" w:hAnsi="宋体" w:eastAsia="宋体" w:cs="宋体"/>
          <w:b w:val="0"/>
          <w:bCs w:val="0"/>
          <w:i w:val="0"/>
          <w:iCs w:val="0"/>
          <w:caps w:val="0"/>
          <w:color w:val="333333"/>
          <w:spacing w:val="0"/>
          <w:sz w:val="28"/>
          <w:szCs w:val="28"/>
          <w:shd w:val="clear" w:fill="FFFFFF"/>
          <w:lang w:val="en-US" w:eastAsia="zh-CN"/>
        </w:rPr>
        <w:t>1.朱镜人论文</w:t>
      </w:r>
      <w:r>
        <w:rPr>
          <w:rFonts w:hint="eastAsia" w:ascii="宋体" w:hAnsi="宋体" w:eastAsia="宋体" w:cs="宋体"/>
          <w:b w:val="0"/>
          <w:bCs w:val="0"/>
          <w:i w:val="0"/>
          <w:iCs w:val="0"/>
          <w:caps w:val="0"/>
          <w:color w:val="333333"/>
          <w:spacing w:val="0"/>
          <w:sz w:val="28"/>
          <w:szCs w:val="28"/>
          <w:shd w:val="clear" w:fill="FFFFFF"/>
        </w:rPr>
        <w:t>英国工业发展对大学的影响（1850—1914）</w:t>
      </w:r>
      <w:r>
        <w:rPr>
          <w:rFonts w:hint="eastAsia" w:ascii="宋体" w:hAnsi="宋体" w:eastAsia="宋体" w:cs="宋体"/>
          <w:b w:val="0"/>
          <w:bCs w:val="0"/>
          <w:i w:val="0"/>
          <w:iCs w:val="0"/>
          <w:caps w:val="0"/>
          <w:color w:val="333333"/>
          <w:spacing w:val="0"/>
          <w:sz w:val="28"/>
          <w:szCs w:val="28"/>
          <w:shd w:val="clear" w:fill="FFFFFF"/>
          <w:lang w:val="en-US" w:eastAsia="zh-CN"/>
        </w:rPr>
        <w:t>引用4次。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r>
        <w:rPr>
          <w:rFonts w:hint="eastAsia" w:cs="宋体"/>
          <w:b w:val="0"/>
          <w:bCs w:val="0"/>
          <w:i w:val="0"/>
          <w:iCs w:val="0"/>
          <w:caps w:val="0"/>
          <w:color w:val="333333"/>
          <w:spacing w:val="0"/>
          <w:sz w:val="28"/>
          <w:szCs w:val="28"/>
          <w:shd w:val="clear" w:fill="FFFFFF"/>
          <w:lang w:val="en-US" w:eastAsia="zh-CN"/>
        </w:rPr>
        <w:t>2.殷冬玲论文</w:t>
      </w:r>
      <w:r>
        <w:rPr>
          <w:rFonts w:hint="eastAsia" w:ascii="宋体" w:hAnsi="宋体" w:eastAsia="宋体" w:cs="宋体"/>
          <w:b w:val="0"/>
          <w:bCs w:val="0"/>
          <w:i w:val="0"/>
          <w:iCs w:val="0"/>
          <w:caps w:val="0"/>
          <w:color w:val="333333"/>
          <w:spacing w:val="0"/>
          <w:sz w:val="28"/>
          <w:szCs w:val="28"/>
          <w:shd w:val="clear" w:fill="FFFFFF"/>
        </w:rPr>
        <w:t>英美大学通识教育目的与模式的比较及启示</w:t>
      </w:r>
      <w:r>
        <w:rPr>
          <w:rFonts w:hint="eastAsia" w:cs="宋体"/>
          <w:b w:val="0"/>
          <w:bCs w:val="0"/>
          <w:i w:val="0"/>
          <w:iCs w:val="0"/>
          <w:caps w:val="0"/>
          <w:color w:val="333333"/>
          <w:spacing w:val="0"/>
          <w:sz w:val="28"/>
          <w:szCs w:val="28"/>
          <w:shd w:val="clear" w:fill="FFFFFF"/>
          <w:lang w:val="en-US" w:eastAsia="zh-CN"/>
        </w:rPr>
        <w:t>引用6次。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r>
        <w:rPr>
          <w:rFonts w:hint="eastAsia" w:cs="宋体"/>
          <w:b w:val="0"/>
          <w:bCs w:val="0"/>
          <w:i w:val="0"/>
          <w:iCs w:val="0"/>
          <w:caps w:val="0"/>
          <w:color w:val="333333"/>
          <w:spacing w:val="0"/>
          <w:sz w:val="28"/>
          <w:szCs w:val="28"/>
          <w:shd w:val="clear" w:fill="FFFFFF"/>
          <w:lang w:val="en-US" w:eastAsia="zh-CN"/>
        </w:rPr>
        <w:t>3.王晓俊论文</w:t>
      </w:r>
      <w:r>
        <w:rPr>
          <w:rFonts w:hint="eastAsia" w:ascii="宋体" w:hAnsi="宋体" w:eastAsia="宋体" w:cs="宋体"/>
          <w:b w:val="0"/>
          <w:bCs w:val="0"/>
          <w:i w:val="0"/>
          <w:iCs w:val="0"/>
          <w:caps w:val="0"/>
          <w:color w:val="333333"/>
          <w:spacing w:val="0"/>
          <w:sz w:val="28"/>
          <w:szCs w:val="28"/>
          <w:shd w:val="clear" w:fill="FFFFFF"/>
        </w:rPr>
        <w:t>基于提高大学生素质的美育实践与探索</w:t>
      </w:r>
      <w:r>
        <w:rPr>
          <w:rFonts w:hint="eastAsia" w:cs="宋体"/>
          <w:b w:val="0"/>
          <w:bCs w:val="0"/>
          <w:i w:val="0"/>
          <w:iCs w:val="0"/>
          <w:caps w:val="0"/>
          <w:color w:val="333333"/>
          <w:spacing w:val="0"/>
          <w:sz w:val="28"/>
          <w:szCs w:val="28"/>
          <w:shd w:val="clear" w:fill="FFFFFF"/>
          <w:lang w:val="en-US" w:eastAsia="zh-CN"/>
        </w:rPr>
        <w:t>引用4次。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r>
        <w:rPr>
          <w:rFonts w:hint="eastAsia" w:cs="宋体"/>
          <w:b w:val="0"/>
          <w:bCs w:val="0"/>
          <w:i w:val="0"/>
          <w:iCs w:val="0"/>
          <w:caps w:val="0"/>
          <w:color w:val="333333"/>
          <w:spacing w:val="0"/>
          <w:sz w:val="28"/>
          <w:szCs w:val="28"/>
          <w:shd w:val="clear" w:fill="FFFFFF"/>
          <w:lang w:val="en-US" w:eastAsia="zh-CN"/>
        </w:rPr>
        <w:t>4.王磊论文：“</w:t>
      </w:r>
      <w:r>
        <w:rPr>
          <w:rFonts w:hint="eastAsia" w:ascii="宋体" w:hAnsi="宋体" w:eastAsia="宋体" w:cs="宋体"/>
          <w:b w:val="0"/>
          <w:bCs w:val="0"/>
          <w:i w:val="0"/>
          <w:iCs w:val="0"/>
          <w:caps w:val="0"/>
          <w:color w:val="333333"/>
          <w:spacing w:val="0"/>
          <w:sz w:val="28"/>
          <w:szCs w:val="28"/>
          <w:shd w:val="clear" w:fill="FFFFFF"/>
        </w:rPr>
        <w:t>安徽省地方政府债务风险评价</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r>
        <w:rPr>
          <w:rFonts w:hint="eastAsia" w:cs="宋体"/>
          <w:b w:val="0"/>
          <w:bCs w:val="0"/>
          <w:i w:val="0"/>
          <w:iCs w:val="0"/>
          <w:caps w:val="0"/>
          <w:color w:val="333333"/>
          <w:spacing w:val="0"/>
          <w:sz w:val="28"/>
          <w:szCs w:val="28"/>
          <w:shd w:val="clear" w:fill="FFFFFF"/>
          <w:lang w:val="en-US" w:eastAsia="zh-CN"/>
        </w:rPr>
        <w:t>5.陈琳论文：“</w:t>
      </w:r>
      <w:r>
        <w:rPr>
          <w:rFonts w:hint="eastAsia" w:ascii="宋体" w:hAnsi="宋体" w:eastAsia="宋体" w:cs="宋体"/>
          <w:b w:val="0"/>
          <w:bCs w:val="0"/>
          <w:i w:val="0"/>
          <w:iCs w:val="0"/>
          <w:caps w:val="0"/>
          <w:color w:val="333333"/>
          <w:spacing w:val="0"/>
          <w:sz w:val="28"/>
          <w:szCs w:val="28"/>
          <w:shd w:val="clear" w:fill="FFFFFF"/>
        </w:rPr>
        <w:t>体验式教学对大学生创新能力培养的实践研究——以安徽新华学院大众传播学课程为例</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引用2次。</w:t>
      </w:r>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25DDC"/>
    <w:rsid w:val="07F4188E"/>
    <w:rsid w:val="129F390C"/>
    <w:rsid w:val="26744D35"/>
    <w:rsid w:val="2BBD3CC5"/>
    <w:rsid w:val="32B81D58"/>
    <w:rsid w:val="369E5B23"/>
    <w:rsid w:val="77A25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2021-11-26T10:28:00Z</dcterms:created>
  <dc:creator>Lenovo</dc:creator>
  <cp:lastModifiedBy>林斗秀</cp:lastModifiedBy>
  <dcterms:modified xsi:type="dcterms:W3CDTF">2022-02-15T02:02:56Z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C38A5274105B4E85B73AA9A2490BB89E</vt:lpwstr>
  </property>
</Properties>
</file>