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312" w:afterLines="100"/>
        <w:jc w:val="center"/>
        <w:rPr>
          <w:rFonts w:ascii="楷体" w:hAnsi="楷体" w:eastAsia="楷体" w:cs="Times New Roman"/>
          <w:b/>
          <w:bCs/>
          <w:color w:val="FF0000"/>
          <w:sz w:val="92"/>
          <w:szCs w:val="92"/>
        </w:rPr>
      </w:pPr>
      <w:r>
        <w:rPr>
          <w:rFonts w:ascii="楷体" w:hAnsi="楷体" w:eastAsia="楷体" w:cs="Times New Roman"/>
          <w:b/>
          <w:bCs/>
          <w:color w:val="FF0000"/>
          <w:sz w:val="92"/>
          <w:szCs w:val="92"/>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5080</wp:posOffset>
                </wp:positionV>
                <wp:extent cx="2036445" cy="883920"/>
                <wp:effectExtent l="5080" t="4445" r="15875" b="698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036445" cy="883920"/>
                        </a:xfrm>
                        <a:prstGeom prst="rect">
                          <a:avLst/>
                        </a:prstGeom>
                        <a:solidFill>
                          <a:srgbClr val="FFFFFF"/>
                        </a:solidFill>
                        <a:ln w="9525">
                          <a:solidFill>
                            <a:srgbClr val="000000"/>
                          </a:solidFill>
                          <a:miter lim="800000"/>
                        </a:ln>
                        <a:effectLst/>
                      </wps:spPr>
                      <wps:txbx>
                        <w:txbxContent>
                          <w:p>
                            <w:pPr>
                              <w:jc w:val="center"/>
                              <w:rPr>
                                <w:rFonts w:ascii="华文中宋" w:hAnsi="华文中宋" w:eastAsia="华文中宋"/>
                                <w:b/>
                                <w:sz w:val="30"/>
                                <w:szCs w:val="30"/>
                              </w:rPr>
                            </w:pPr>
                            <w:r>
                              <w:rPr>
                                <w:rFonts w:hint="eastAsia" w:ascii="华文中宋" w:hAnsi="华文中宋" w:eastAsia="华文中宋"/>
                                <w:b/>
                                <w:sz w:val="30"/>
                                <w:szCs w:val="30"/>
                              </w:rPr>
                              <w:t>安徽省高校人文社会科学重点研究基地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pt;margin-top:0.4pt;height:69.6pt;width:160.35pt;z-index:251661312;mso-width-relative:page;mso-height-relative:page;" fillcolor="#FFFFFF" filled="t" stroked="t" coordsize="21600,21600" o:gfxdata="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nkRuZtcAAAAHAQAADwAAAAAAAAABACAA&#10;AAAiAAAAZHJzL2Rvd25yZXYueG1sUEsBAhQAFAAAAAgAh07iQE/GUtJHAgAAlQQAAA4AAAAAAAAA&#10;AQAgAAAAJgEAAGRycy9lMm9Eb2MueG1sUEsFBgAAAAAGAAYAWQEAAN8FAAAAAA==&#10;">
                <v:fill on="t" focussize="0,0"/>
                <v:stroke color="#000000" miterlimit="8" joinstyle="miter"/>
                <v:imagedata o:title=""/>
                <o:lock v:ext="edit" aspectratio="f"/>
                <v:textbox>
                  <w:txbxContent>
                    <w:p>
                      <w:pPr>
                        <w:jc w:val="center"/>
                        <w:rPr>
                          <w:rFonts w:ascii="华文中宋" w:hAnsi="华文中宋" w:eastAsia="华文中宋"/>
                          <w:b/>
                          <w:sz w:val="30"/>
                          <w:szCs w:val="30"/>
                        </w:rPr>
                      </w:pPr>
                      <w:r>
                        <w:rPr>
                          <w:rFonts w:hint="eastAsia" w:ascii="华文中宋" w:hAnsi="华文中宋" w:eastAsia="华文中宋"/>
                          <w:b/>
                          <w:sz w:val="30"/>
                          <w:szCs w:val="30"/>
                        </w:rPr>
                        <w:t>安徽省高校人文社会科学重点研究基地</w:t>
                      </w:r>
                    </w:p>
                  </w:txbxContent>
                </v:textbox>
              </v:shape>
            </w:pict>
          </mc:Fallback>
        </mc:AlternateContent>
      </w:r>
    </w:p>
    <w:p>
      <w:pPr>
        <w:adjustRightInd w:val="0"/>
        <w:snapToGrid w:val="0"/>
        <w:spacing w:after="312" w:afterLines="100"/>
        <w:jc w:val="center"/>
        <w:rPr>
          <w:rFonts w:ascii="华文新魏" w:hAnsi="楷体" w:eastAsia="华文新魏" w:cs="Times New Roman"/>
          <w:b/>
          <w:bCs/>
          <w:color w:val="FF0000"/>
          <w:sz w:val="120"/>
          <w:szCs w:val="120"/>
        </w:rPr>
      </w:pPr>
      <w:r>
        <w:rPr>
          <w:rFonts w:ascii="华文新魏" w:hAnsi="楷体" w:eastAsia="华文新魏" w:cs="Times New Roman"/>
          <w:b/>
          <w:bCs/>
          <w:color w:val="FF0000"/>
          <w:sz w:val="120"/>
          <w:szCs w:val="120"/>
        </w:rPr>
        <mc:AlternateContent>
          <mc:Choice Requires="wps">
            <w:drawing>
              <wp:inline distT="0" distB="0" distL="0" distR="0">
                <wp:extent cx="5400675" cy="1209675"/>
                <wp:effectExtent l="0" t="0" r="0" b="0"/>
                <wp:docPr id="1" name="文本框 1"/>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00675" cy="1209675"/>
                        </a:xfrm>
                        <a:prstGeom prst="rect">
                          <a:avLst/>
                        </a:prstGeom>
                      </wps:spPr>
                      <wps:txbx>
                        <w:txbxContent>
                          <w:p>
                            <w:pPr>
                              <w:pStyle w:val="6"/>
                              <w:spacing w:before="0" w:beforeAutospacing="0" w:after="0" w:afterAutospacing="0"/>
                              <w:jc w:val="center"/>
                            </w:pPr>
                            <w:r>
                              <w:rPr>
                                <w:rFonts w:hint="eastAsia"/>
                                <w:b/>
                                <w:bCs/>
                                <w:color w:val="FF0000"/>
                                <w:sz w:val="72"/>
                                <w:szCs w:val="72"/>
                                <w14:textOutline w14:w="9525" w14:cap="flat" w14:cmpd="sng" w14:algn="ctr">
                                  <w14:solidFill>
                                    <w14:srgbClr w14:val="FF0000"/>
                                  </w14:solidFill>
                                  <w14:prstDash w14:val="solid"/>
                                  <w14:round/>
                                </w14:textOutline>
                              </w:rPr>
                              <w:t>大学生素质教育研究中心成果简报</w:t>
                            </w:r>
                          </w:p>
                        </w:txbxContent>
                      </wps:txbx>
                      <wps:bodyPr wrap="square" numCol="1" fromWordArt="1">
                        <a:prstTxWarp prst="textPlain">
                          <a:avLst>
                            <a:gd name="adj" fmla="val 50000"/>
                          </a:avLst>
                        </a:prstTxWarp>
                        <a:spAutoFit/>
                      </wps:bodyPr>
                    </wps:wsp>
                  </a:graphicData>
                </a:graphic>
              </wp:inline>
            </w:drawing>
          </mc:Choice>
          <mc:Fallback>
            <w:pict>
              <v:shape id="_x0000_s1026" o:spid="_x0000_s1026" o:spt="202" type="#_x0000_t202" style="height:95.25pt;width:425.25pt;" filled="f" stroked="f" coordsize="21600,21600" o:gfxdata="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ZfnM9QAAAAF&#10;AQAADwAAAAAAAAABACAAAAAiAAAAZHJzL2Rvd25yZXYueG1sUEsBAhQAFAAAAAgAh07iQJT9CTYg&#10;AgAAKgQAAA4AAAAAAAAAAQAgAAAAIwEAAGRycy9lMm9Eb2MueG1sUEsFBgAAAAAGAAYAWQEAALUF&#10;AAAAAA==&#10;" adj="10800">
                <v:fill on="f" focussize="0,0"/>
                <v:stroke on="f"/>
                <v:imagedata o:title=""/>
                <o:lock v:ext="edit" text="t" aspectratio="f"/>
                <v:textbox style="mso-fit-shape-to-text:t;">
                  <w:txbxContent>
                    <w:p>
                      <w:pPr>
                        <w:pStyle w:val="6"/>
                        <w:spacing w:before="0" w:beforeAutospacing="0" w:after="0" w:afterAutospacing="0"/>
                        <w:jc w:val="center"/>
                      </w:pPr>
                      <w:r>
                        <w:rPr>
                          <w:rFonts w:hint="eastAsia"/>
                          <w:b/>
                          <w:bCs/>
                          <w:color w:val="FF0000"/>
                          <w:sz w:val="72"/>
                          <w:szCs w:val="72"/>
                          <w14:textOutline w14:w="9525" w14:cap="flat" w14:cmpd="sng" w14:algn="ctr">
                            <w14:solidFill>
                              <w14:srgbClr w14:val="FF0000"/>
                            </w14:solidFill>
                            <w14:prstDash w14:val="solid"/>
                            <w14:round/>
                          </w14:textOutline>
                        </w:rPr>
                        <w:t>大学生素质教育研究中心成果简报</w:t>
                      </w:r>
                    </w:p>
                  </w:txbxContent>
                </v:textbox>
                <w10:wrap type="none"/>
                <w10:anchorlock/>
              </v:shape>
            </w:pict>
          </mc:Fallback>
        </mc:AlternateContent>
      </w:r>
    </w:p>
    <w:p>
      <w:pPr>
        <w:adjustRightInd w:val="0"/>
        <w:snapToGrid w:val="0"/>
        <w:spacing w:after="312" w:afterLines="100" w:line="240" w:lineRule="atLeast"/>
        <w:jc w:val="center"/>
        <w:rPr>
          <w:rFonts w:ascii="黑体" w:hAnsi="华文中宋" w:eastAsia="黑体" w:cs="Times New Roman"/>
          <w:b/>
          <w:bCs/>
          <w:color w:val="000000"/>
          <w:sz w:val="10"/>
          <w:szCs w:val="10"/>
        </w:rPr>
      </w:pPr>
    </w:p>
    <w:p>
      <w:pPr>
        <w:adjustRightInd w:val="0"/>
        <w:snapToGrid w:val="0"/>
        <w:spacing w:after="312" w:afterLines="100" w:line="240" w:lineRule="atLeast"/>
        <w:jc w:val="center"/>
        <w:rPr>
          <w:rFonts w:ascii="黑体" w:hAnsi="华文中宋" w:eastAsia="黑体" w:cs="Times New Roman"/>
          <w:b/>
          <w:bCs/>
          <w:color w:val="000000"/>
          <w:sz w:val="36"/>
          <w:szCs w:val="24"/>
        </w:rPr>
      </w:pPr>
      <w:r>
        <w:rPr>
          <w:rFonts w:hint="eastAsia" w:ascii="黑体" w:hAnsi="华文中宋" w:eastAsia="黑体" w:cs="Times New Roman"/>
          <w:b/>
          <w:bCs/>
          <w:color w:val="000000"/>
          <w:sz w:val="36"/>
          <w:szCs w:val="24"/>
        </w:rPr>
        <w:t>20</w:t>
      </w:r>
      <w:r>
        <w:rPr>
          <w:rFonts w:hint="eastAsia" w:ascii="黑体" w:hAnsi="华文中宋" w:eastAsia="黑体" w:cs="Times New Roman"/>
          <w:b/>
          <w:bCs/>
          <w:color w:val="000000"/>
          <w:sz w:val="36"/>
          <w:szCs w:val="24"/>
          <w:lang w:val="en-US" w:eastAsia="zh-CN"/>
        </w:rPr>
        <w:tab/>
      </w:r>
      <w:r>
        <w:rPr>
          <w:rFonts w:hint="eastAsia" w:ascii="黑体" w:hAnsi="华文中宋" w:eastAsia="黑体" w:cs="Times New Roman"/>
          <w:b/>
          <w:bCs/>
          <w:color w:val="000000"/>
          <w:sz w:val="36"/>
          <w:szCs w:val="24"/>
          <w:lang w:val="en-US" w:eastAsia="zh-CN"/>
        </w:rPr>
        <w:t>17</w:t>
      </w:r>
      <w:r>
        <w:rPr>
          <w:rFonts w:hint="eastAsia" w:ascii="黑体" w:hAnsi="华文中宋" w:eastAsia="黑体" w:cs="Times New Roman"/>
          <w:b/>
          <w:bCs/>
          <w:color w:val="000000"/>
          <w:sz w:val="36"/>
          <w:szCs w:val="24"/>
        </w:rPr>
        <w:t>年第</w:t>
      </w:r>
      <w:r>
        <w:rPr>
          <w:rFonts w:hint="eastAsia" w:ascii="黑体" w:hAnsi="华文中宋" w:eastAsia="黑体" w:cs="Times New Roman"/>
          <w:b/>
          <w:bCs/>
          <w:color w:val="000000"/>
          <w:sz w:val="36"/>
          <w:szCs w:val="24"/>
          <w:lang w:val="en-US" w:eastAsia="zh-CN"/>
        </w:rPr>
        <w:t>2</w:t>
      </w:r>
      <w:r>
        <w:rPr>
          <w:rFonts w:hint="eastAsia" w:ascii="黑体" w:hAnsi="华文中宋" w:eastAsia="黑体" w:cs="Times New Roman"/>
          <w:b/>
          <w:bCs/>
          <w:color w:val="000000"/>
          <w:sz w:val="36"/>
          <w:szCs w:val="24"/>
        </w:rPr>
        <w:t>期</w:t>
      </w:r>
      <w:r>
        <w:rPr>
          <w:rFonts w:hint="eastAsia" w:ascii="黑体" w:hAnsi="华文中宋" w:eastAsia="黑体" w:cs="Times New Roman"/>
          <w:b/>
          <w:bCs/>
          <w:color w:val="FF0000"/>
          <w:sz w:val="36"/>
          <w:szCs w:val="24"/>
        </w:rPr>
        <w:t>(总第</w:t>
      </w:r>
      <w:r>
        <w:rPr>
          <w:rFonts w:hint="eastAsia" w:ascii="黑体" w:hAnsi="华文中宋" w:eastAsia="黑体" w:cs="Times New Roman"/>
          <w:b/>
          <w:bCs/>
          <w:color w:val="FF0000"/>
          <w:sz w:val="36"/>
          <w:szCs w:val="24"/>
          <w:lang w:val="en-US" w:eastAsia="zh-CN"/>
        </w:rPr>
        <w:t>10</w:t>
      </w:r>
      <w:r>
        <w:rPr>
          <w:rFonts w:hint="eastAsia" w:ascii="黑体" w:hAnsi="华文中宋" w:eastAsia="黑体" w:cs="Times New Roman"/>
          <w:b/>
          <w:bCs/>
          <w:color w:val="FF0000"/>
          <w:sz w:val="36"/>
          <w:szCs w:val="24"/>
        </w:rPr>
        <w:t>期)</w:t>
      </w:r>
    </w:p>
    <w:p>
      <w:pPr>
        <w:adjustRightInd w:val="0"/>
        <w:snapToGrid w:val="0"/>
        <w:spacing w:after="249" w:afterLines="80"/>
        <w:rPr>
          <w:rFonts w:ascii="黑体" w:hAnsi="Times New Roman" w:eastAsia="黑体" w:cs="Times New Roman"/>
          <w:sz w:val="28"/>
          <w:szCs w:val="24"/>
        </w:rPr>
      </w:pPr>
      <w:r>
        <w:rPr>
          <w:rFonts w:ascii="Times New Roman" w:hAnsi="Times New Roman" w:eastAsia="宋体" w:cs="Times New Roman"/>
          <w:szCs w:val="24"/>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271145</wp:posOffset>
                </wp:positionV>
                <wp:extent cx="5705475" cy="0"/>
                <wp:effectExtent l="0" t="13970" r="9525" b="2413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28575" cmpd="sng">
                          <a:solidFill>
                            <a:srgbClr val="FF0000"/>
                          </a:solidFill>
                          <a:round/>
                        </a:ln>
                      </wps:spPr>
                      <wps:bodyPr/>
                    </wps:wsp>
                  </a:graphicData>
                </a:graphic>
              </wp:anchor>
            </w:drawing>
          </mc:Choice>
          <mc:Fallback>
            <w:pict>
              <v:line id="_x0000_s1026" o:spid="_x0000_s1026" o:spt="20" style="position:absolute;left:0pt;margin-left:-12pt;margin-top:21.35pt;height:0pt;width:449.25pt;z-index:251660288;mso-width-relative:page;mso-height-relative:page;" filled="f" stroked="t" coordsize="21600,21600" o:gfxdata="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Q1+M9gAAAAJAQAADwAAAAAAAAABACAAAAAiAAAAZHJzL2Rvd25yZXYueG1sUEsBAhQAFAAAAAgA&#10;h07iQIRX8nXsAQAAtgMAAA4AAAAAAAAAAQAgAAAAJwEAAGRycy9lMm9Eb2MueG1sUEsFBgAAAAAG&#10;AAYAWQEAAIUFAAAAAA==&#10;">
                <v:fill on="f" focussize="0,0"/>
                <v:stroke weight="2.25pt" color="#FF0000" joinstyle="round"/>
                <v:imagedata o:title=""/>
                <o:lock v:ext="edit" aspectratio="f"/>
              </v:line>
            </w:pict>
          </mc:Fallback>
        </mc:AlternateContent>
      </w:r>
      <w:r>
        <w:rPr>
          <w:rFonts w:hint="eastAsia" w:ascii="黑体" w:hAnsi="Times New Roman" w:eastAsia="黑体" w:cs="Times New Roman"/>
          <w:sz w:val="28"/>
          <w:szCs w:val="24"/>
        </w:rPr>
        <w:t>安徽新华学院大学生素质教育研究中心编          20</w:t>
      </w:r>
      <w:r>
        <w:rPr>
          <w:rFonts w:hint="eastAsia" w:ascii="黑体" w:hAnsi="Times New Roman" w:eastAsia="黑体" w:cs="Times New Roman"/>
          <w:sz w:val="28"/>
          <w:szCs w:val="24"/>
          <w:lang w:val="en-US" w:eastAsia="zh-CN"/>
        </w:rPr>
        <w:t>17</w:t>
      </w:r>
      <w:r>
        <w:rPr>
          <w:rFonts w:hint="eastAsia" w:ascii="黑体" w:hAnsi="Times New Roman" w:eastAsia="黑体" w:cs="Times New Roman"/>
          <w:sz w:val="28"/>
          <w:szCs w:val="24"/>
        </w:rPr>
        <w:t>年</w:t>
      </w:r>
      <w:r>
        <w:rPr>
          <w:rFonts w:hint="eastAsia" w:ascii="黑体" w:hAnsi="Times New Roman" w:eastAsia="黑体" w:cs="Times New Roman"/>
          <w:sz w:val="28"/>
          <w:szCs w:val="24"/>
          <w:lang w:val="en-US" w:eastAsia="zh-CN"/>
        </w:rPr>
        <w:t>12</w:t>
      </w:r>
      <w:r>
        <w:rPr>
          <w:rFonts w:hint="eastAsia" w:ascii="黑体" w:hAnsi="Times New Roman" w:eastAsia="黑体" w:cs="Times New Roman"/>
          <w:sz w:val="28"/>
          <w:szCs w:val="24"/>
        </w:rPr>
        <w:t>月</w:t>
      </w:r>
    </w:p>
    <w:p>
      <w:pPr>
        <w:adjustRightInd w:val="0"/>
        <w:snapToGrid w:val="0"/>
        <w:spacing w:after="249" w:afterLines="80"/>
        <w:rPr>
          <w:rFonts w:ascii="Times New Roman" w:hAnsi="Times New Roman" w:eastAsia="黑体" w:cs="Times New Roman"/>
          <w:b/>
          <w:bCs/>
          <w:color w:val="FF0000"/>
          <w:sz w:val="32"/>
          <w:szCs w:val="24"/>
        </w:rPr>
      </w:pPr>
      <w:r>
        <w:rPr>
          <w:rFonts w:hint="eastAsia" w:ascii="Times New Roman" w:hAnsi="Times New Roman" w:eastAsia="黑体" w:cs="Times New Roman"/>
          <w:b/>
          <w:bCs/>
          <w:color w:val="FF0000"/>
          <w:sz w:val="32"/>
          <w:szCs w:val="24"/>
        </w:rPr>
        <w:t xml:space="preserve">  </w:t>
      </w:r>
    </w:p>
    <w:p>
      <w:pPr>
        <w:adjustRightInd w:val="0"/>
        <w:snapToGrid w:val="0"/>
        <w:spacing w:after="249" w:afterLines="80"/>
        <w:jc w:val="center"/>
        <w:rPr>
          <w:rFonts w:ascii="Times New Roman" w:hAnsi="Times New Roman" w:eastAsia="黑体" w:cs="Times New Roman"/>
          <w:b/>
          <w:bCs/>
          <w:color w:val="000000"/>
          <w:sz w:val="32"/>
          <w:szCs w:val="24"/>
        </w:rPr>
      </w:pPr>
      <w:r>
        <w:rPr>
          <w:rFonts w:hint="eastAsia" w:ascii="Times New Roman" w:hAnsi="Times New Roman" w:eastAsia="黑体" w:cs="Times New Roman"/>
          <w:color w:val="000000"/>
          <w:sz w:val="44"/>
          <w:szCs w:val="24"/>
        </w:rPr>
        <w:t>本期目录</w:t>
      </w:r>
    </w:p>
    <w:p>
      <w:pPr>
        <w:spacing w:after="156" w:afterLines="50"/>
        <w:ind w:firstLine="750" w:firstLineChars="250"/>
        <w:jc w:val="left"/>
        <w:rPr>
          <w:rFonts w:ascii="黑体" w:hAnsi="宋体" w:eastAsia="黑体" w:cs="Times New Roman"/>
          <w:color w:val="000000"/>
          <w:sz w:val="30"/>
          <w:szCs w:val="24"/>
        </w:rPr>
      </w:pPr>
    </w:p>
    <w:p>
      <w:pPr>
        <w:spacing w:after="156" w:afterLines="50"/>
        <w:ind w:firstLine="1500" w:firstLineChars="500"/>
        <w:jc w:val="left"/>
        <w:rPr>
          <w:rFonts w:hint="eastAsia" w:ascii="黑体" w:hAnsi="宋体" w:eastAsia="黑体" w:cs="Times New Roman"/>
          <w:color w:val="000000"/>
          <w:sz w:val="30"/>
          <w:szCs w:val="24"/>
        </w:rPr>
      </w:pPr>
      <w:r>
        <w:rPr>
          <w:rFonts w:hint="eastAsia" w:ascii="黑体" w:hAnsi="宋体" w:eastAsia="黑体" w:cs="Times New Roman"/>
          <w:color w:val="000000"/>
          <w:sz w:val="30"/>
          <w:szCs w:val="24"/>
        </w:rPr>
        <w:t>●成果摘要</w:t>
      </w:r>
    </w:p>
    <w:p>
      <w:pPr>
        <w:spacing w:after="156" w:afterLines="50"/>
        <w:ind w:firstLine="1500" w:firstLineChars="500"/>
        <w:jc w:val="left"/>
        <w:rPr>
          <w:rFonts w:hint="eastAsia" w:ascii="黑体" w:hAnsi="宋体" w:eastAsia="黑体" w:cs="Times New Roman"/>
          <w:color w:val="000000"/>
          <w:sz w:val="30"/>
          <w:szCs w:val="24"/>
        </w:rPr>
      </w:pPr>
    </w:p>
    <w:p>
      <w:pPr>
        <w:spacing w:after="156" w:afterLines="50"/>
        <w:ind w:firstLine="1500" w:firstLineChars="500"/>
        <w:jc w:val="left"/>
        <w:rPr>
          <w:rFonts w:hint="eastAsia" w:ascii="黑体" w:hAnsi="宋体" w:eastAsia="黑体" w:cs="Times New Roman"/>
          <w:color w:val="000000"/>
          <w:sz w:val="30"/>
          <w:szCs w:val="24"/>
        </w:rPr>
      </w:pPr>
      <w:bookmarkStart w:id="0" w:name="_GoBack"/>
      <w:bookmarkEnd w:id="0"/>
    </w:p>
    <w:p>
      <w:pPr>
        <w:spacing w:after="156" w:afterLines="50"/>
        <w:ind w:firstLine="1500" w:firstLineChars="500"/>
        <w:jc w:val="left"/>
        <w:rPr>
          <w:rFonts w:ascii="黑体" w:hAnsi="Times New Roman" w:eastAsia="黑体" w:cs="Times New Roman"/>
          <w:color w:val="000000"/>
          <w:sz w:val="30"/>
          <w:szCs w:val="24"/>
        </w:rPr>
      </w:pPr>
      <w:r>
        <w:rPr>
          <w:rFonts w:hint="eastAsia" w:ascii="黑体" w:hAnsi="宋体" w:eastAsia="黑体" w:cs="Times New Roman"/>
          <w:color w:val="000000"/>
          <w:sz w:val="30"/>
          <w:szCs w:val="24"/>
        </w:rPr>
        <w:t>●转载引用</w:t>
      </w:r>
    </w:p>
    <w:p>
      <w:pPr>
        <w:spacing w:after="156" w:afterLines="50"/>
        <w:ind w:firstLine="1500" w:firstLineChars="500"/>
        <w:jc w:val="left"/>
        <w:rPr>
          <w:rFonts w:ascii="黑体" w:hAnsi="宋体" w:eastAsia="黑体" w:cs="Times New Roman"/>
          <w:color w:val="000000"/>
          <w:sz w:val="30"/>
          <w:szCs w:val="30"/>
        </w:rPr>
      </w:pPr>
    </w:p>
    <w:p>
      <w:pPr>
        <w:spacing w:after="156" w:afterLines="50"/>
        <w:jc w:val="left"/>
        <w:rPr>
          <w:rFonts w:ascii="黑体" w:hAnsi="宋体" w:eastAsia="黑体" w:cs="Times New Roman"/>
          <w:color w:val="000000"/>
          <w:sz w:val="30"/>
          <w:szCs w:val="24"/>
        </w:rPr>
      </w:pPr>
    </w:p>
    <w:p>
      <w:pPr>
        <w:rPr>
          <w:rFonts w:ascii="Times New Roman" w:hAnsi="Times New Roman" w:eastAsia="宋体" w:cs="Times New Roman"/>
          <w:szCs w:val="24"/>
        </w:rPr>
      </w:pPr>
    </w:p>
    <w:p>
      <w:pPr>
        <w:spacing w:line="520" w:lineRule="exact"/>
        <w:rPr>
          <w:rFonts w:hint="eastAsia" w:ascii="宋体" w:hAnsi="宋体" w:eastAsia="宋体" w:cs="Times New Roman"/>
          <w:b/>
          <w:sz w:val="30"/>
          <w:szCs w:val="30"/>
        </w:rPr>
        <w:sectPr>
          <w:headerReference r:id="rId3" w:type="default"/>
          <w:footerReference r:id="rId4" w:type="even"/>
          <w:pgSz w:w="11907" w:h="16840"/>
          <w:pgMar w:top="1440" w:right="1559" w:bottom="1440" w:left="1622" w:header="851" w:footer="992" w:gutter="0"/>
          <w:cols w:space="720" w:num="1"/>
          <w:docGrid w:type="lines" w:linePitch="312" w:charSpace="0"/>
        </w:sectPr>
      </w:pPr>
    </w:p>
    <w:tbl>
      <w:tblPr>
        <w:tblStyle w:val="7"/>
        <w:tblpPr w:leftFromText="180" w:rightFromText="180" w:vertAnchor="text" w:horzAnchor="margin" w:tblpY="200"/>
        <w:tblW w:w="0" w:type="auto"/>
        <w:tblInd w:w="0" w:type="dxa"/>
        <w:tblBorders>
          <w:top w:val="dashDotStroked" w:color="auto" w:sz="24" w:space="0"/>
          <w:left w:val="dashDotStroked" w:color="auto" w:sz="24" w:space="0"/>
          <w:bottom w:val="dashDotStroked" w:color="auto" w:sz="24" w:space="0"/>
          <w:right w:val="dashDotStroked" w:color="auto" w:sz="24" w:space="0"/>
          <w:insideH w:val="none" w:color="auto" w:sz="0" w:space="0"/>
          <w:insideV w:val="none" w:color="auto" w:sz="0" w:space="0"/>
        </w:tblBorders>
        <w:tblLayout w:type="fixed"/>
        <w:tblCellMar>
          <w:top w:w="0" w:type="dxa"/>
          <w:left w:w="108" w:type="dxa"/>
          <w:bottom w:w="0" w:type="dxa"/>
          <w:right w:w="108" w:type="dxa"/>
        </w:tblCellMar>
      </w:tblPr>
      <w:tblGrid>
        <w:gridCol w:w="1638"/>
      </w:tblGrid>
      <w:tr>
        <w:tblPrEx>
          <w:tblBorders>
            <w:top w:val="dashDotStroked" w:color="auto" w:sz="24" w:space="0"/>
            <w:left w:val="dashDotStroked" w:color="auto" w:sz="24" w:space="0"/>
            <w:bottom w:val="dashDotStroked" w:color="auto" w:sz="24" w:space="0"/>
            <w:right w:val="dashDotStroked" w:color="auto" w:sz="2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38" w:type="dxa"/>
            <w:tcBorders>
              <w:top w:val="dashDotStroked" w:color="auto" w:sz="24" w:space="0"/>
              <w:left w:val="dashDotStroked" w:color="auto" w:sz="24" w:space="0"/>
              <w:bottom w:val="dashDotStroked" w:color="auto" w:sz="24" w:space="0"/>
              <w:right w:val="dashDotStroked" w:color="auto" w:sz="24" w:space="0"/>
            </w:tcBorders>
            <w:vAlign w:val="center"/>
          </w:tcPr>
          <w:p>
            <w:pPr>
              <w:spacing w:line="520" w:lineRule="exact"/>
              <w:jc w:val="center"/>
              <w:rPr>
                <w:rFonts w:hint="eastAsia" w:ascii="宋体" w:hAnsi="宋体" w:eastAsia="宋体" w:cs="Times New Roman"/>
                <w:b/>
                <w:sz w:val="30"/>
                <w:szCs w:val="30"/>
              </w:rPr>
            </w:pPr>
            <w:r>
              <w:rPr>
                <w:rFonts w:hint="eastAsia" w:ascii="宋体" w:hAnsi="宋体" w:eastAsia="宋体" w:cs="Times New Roman"/>
                <w:b/>
                <w:sz w:val="30"/>
                <w:szCs w:val="30"/>
              </w:rPr>
              <w:t>成果摘要</w:t>
            </w:r>
          </w:p>
        </w:tc>
      </w:tr>
    </w:tbl>
    <w:p/>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古典教育到底有什么价值?——《保卫古典教育》解读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朱镜人</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英国教育思想家理查德·温·利文斯通的著作《保卫古典教育》是英国古典教育思想的集大成之作,深刻阐释了古典教育的价值。该著作出版的时代背景有以下几点:科学教育思想和功利主义教育思想对英国古典教育的挑战;新学校运动的冲击;社会人士对古典教育价值的质疑声不断;古典教育自身存在着问题;等等。作者对古典教育的价值、古典教育的优势以及古典教育应当进行的改革所作的论述值得我们重视和深思。静下心来读读这本书,至少能够从中获得这样的启迪:无论是中国古代的经典著作还是外国古代的经典著作都具有现代价值和意义,它们都应该在学校课程中占有一席之地,以使年轻的一代能够吮吸古人智慧的营养茁壮地成长。 </w:t>
      </w:r>
    </w:p>
    <w:p/>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英国城市大学文科发展的特点与原因分析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朱镜人</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英国城市大学从早期阶段开始,就一直以社会需求作为办学的指导原则之一。在其100多年的历史进程中,英国城市大学在注重工科和理科发展的同时,也一直重视文科的发展。英国城市大学早期阶段文科发展有5个特点,即文科是学校科目的重要组成部分、文科学生数量不少、文科中女生比例较高、文科受欢迎的程度不亚于应用学科、文科发展的领域狭窄以及文科的研究尚未展开。早期文科发展特点形成的主要原因是社会需要、大学理念的影响以及文科领域科研未受到重视等。现阶段英国城市大学文科发展的特点主要表现有三:其一,城市大学的文科系部和学科建设有了长足的发展;其二,文科学生规模依然占相当大的比例;其三,建立了人文和社会科学研究机构,不断开拓新的研究领域。英国城市大学现阶段文科发展特点的形成,除了社会需要、大学理念的影响之外,加强文科领域研究不仅是现代城市大学的必然选择,亦是其持续发展的重要原因。英国城市大学文科发展的经验对我国地方应用型本科院校发展的战略选择具有重要启示作用,即文科也具有"应用性",也有社会（市场）需求,办好文科既可满足社会的需求,也可满足大学自身发展的需要,不能一谈到"应用性",满脑子就只想到工科、商科等所谓的"应用性"强的学科。</w:t>
      </w:r>
    </w:p>
    <w:p>
      <w:pPr>
        <w:rPr>
          <w:rFonts w:hint="eastAsia" w:ascii="宋体" w:hAnsi="宋体" w:eastAsia="宋体" w:cs="宋体"/>
          <w:sz w:val="21"/>
          <w:szCs w:val="21"/>
        </w:rPr>
      </w:pPr>
    </w:p>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英国“科学教育协会”的演进及其教师教育活动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朱镜人</w:t>
      </w:r>
    </w:p>
    <w:p>
      <w:pPr>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英国"科学教育协会"的演进始于1902年,经历了萌芽期、变革期和稳定发展期三个阶段,它从一个弱小分散的教师协会演变成全国统一且规模最大的学科教师协会,在英国教师教育活动中扮演了重要角色。该协会通过召开学术年会、出版专题调查报告以及发行刊物和出版专著等活动,在促进英国科学教师专业化发展和提升英国科学教育质量方面发挥了重要作用。该协会的教师教育活动有五个特点:从精英走向大众;从单性别走向双性别;从封闭走向开放;面向实际教学;积极邀请科学家和大学教授参加协会活动。中小学学科专业协会是教师教育的重要力量,研究该协会的演讲历程和教师教育活动对我国具有借鉴价值。 </w:t>
      </w:r>
    </w:p>
    <w:p>
      <w:pPr>
        <w:keepNext w:val="0"/>
        <w:keepLines w:val="0"/>
        <w:pageBreakBefore w:val="0"/>
        <w:kinsoku/>
        <w:wordWrap/>
        <w:overflowPunct/>
        <w:topLinePunct w:val="0"/>
        <w:autoSpaceDE/>
        <w:autoSpaceDN/>
        <w:bidi w:val="0"/>
        <w:adjustRightInd/>
        <w:snapToGrid/>
        <w:spacing w:line="360" w:lineRule="auto"/>
        <w:textAlignment w:val="auto"/>
      </w:pPr>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论大学生创业教育中模块化课程体系的构建——以法律课程为例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计勇</w:t>
      </w:r>
      <w:r>
        <w:rPr>
          <w:rFonts w:hint="eastAsia" w:cs="宋体"/>
          <w:b/>
          <w:bCs/>
          <w:i w:val="0"/>
          <w:iCs w:val="0"/>
          <w:caps w:val="0"/>
          <w:color w:val="auto"/>
          <w:spacing w:val="0"/>
          <w:sz w:val="21"/>
          <w:szCs w:val="21"/>
          <w:u w:val="none"/>
          <w:shd w:val="clear" w:fill="FFFFFF"/>
          <w:lang w:val="en-US" w:eastAsia="zh-CN"/>
        </w:rPr>
        <w:t xml:space="preserve"> </w:t>
      </w:r>
      <w:r>
        <w:rPr>
          <w:rFonts w:hint="eastAsia" w:ascii="宋体" w:hAnsi="宋体" w:eastAsia="宋体" w:cs="宋体"/>
          <w:b/>
          <w:bCs/>
          <w:i w:val="0"/>
          <w:iCs w:val="0"/>
          <w:caps w:val="0"/>
          <w:color w:val="auto"/>
          <w:spacing w:val="0"/>
          <w:sz w:val="21"/>
          <w:szCs w:val="21"/>
          <w:u w:val="none"/>
          <w:shd w:val="clear" w:fill="FFFFFF"/>
        </w:rPr>
        <w:t>高芬</w:t>
      </w:r>
    </w:p>
    <w:p>
      <w:pPr>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目前,在我们高校大学生创业教育中运用模块化教学来提高教育教学的质量,但模块化教学中诸如法律模块的体系构建严重滞后,课程设置缺乏.所以有待构建科学合理涵盖创业主体、创业运行与规制、创业救济等方面的大学生创业教育法律模块课程体系. </w:t>
      </w:r>
    </w:p>
    <w:p>
      <w:pPr>
        <w:keepNext w:val="0"/>
        <w:keepLines w:val="0"/>
        <w:pageBreakBefore w:val="0"/>
        <w:kinsoku/>
        <w:wordWrap/>
        <w:overflowPunct/>
        <w:topLinePunct w:val="0"/>
        <w:autoSpaceDE/>
        <w:autoSpaceDN/>
        <w:bidi w:val="0"/>
        <w:adjustRightInd/>
        <w:snapToGrid/>
        <w:spacing w:line="360" w:lineRule="auto"/>
        <w:textAlignment w:val="auto"/>
      </w:pPr>
    </w:p>
    <w:p>
      <w:pPr>
        <w:keepNext w:val="0"/>
        <w:keepLines w:val="0"/>
        <w:pageBreakBefore w:val="0"/>
        <w:kinsoku/>
        <w:wordWrap/>
        <w:overflowPunct/>
        <w:topLinePunct w:val="0"/>
        <w:autoSpaceDE/>
        <w:autoSpaceDN/>
        <w:bidi w:val="0"/>
        <w:adjustRightInd/>
        <w:snapToGrid/>
        <w:spacing w:line="360" w:lineRule="auto"/>
        <w:textAlignment w:val="auto"/>
      </w:pPr>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跨境电商背景下国际贸易专业大学生创新创业素质培养研究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韦钰芳</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随着跨境电商的兴起和快速发展,加上传统国际贸易的乏力,中国越来越多的中小微企业青睐于用跨境电子商务的方式来进行贸易,这也对高校培养国际贸易专业大学生提出了更高的挑战。"跨境电商"不同于传统的国际贸易,尤其是B2C、C2C模式,都要求国际贸易方面的人才具备较强的网络营销、电子商务网站运作、跨境物流以及相关平台的操作能力,与此同时,用小语种直接面对不同客户进行沟通的能力也很重要。因此在国贸专业大学生创新创业素质培养教育中,应增加电子商务以及物流类基础课程地教学,通过政府的扶持,资金援助,为大学生的创业打下基础,并通过校企合作来提高学生在网络营销及跨境电子商务相关平台上的实操能力,同时应针对性的通过小语种的学习来进行差异化的培养。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textAlignment w:val="center"/>
        <w:rPr>
          <w:rFonts w:hint="eastAsia" w:ascii="宋体" w:hAnsi="宋体" w:eastAsia="宋体" w:cs="宋体"/>
          <w:b/>
          <w:bCs/>
          <w:i w:val="0"/>
          <w:iCs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i w:val="0"/>
          <w:iCs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应用型民办本科院校国贸专业课程体系创新研究——以安徽新华学院为例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杨雪荣</w:t>
      </w:r>
    </w:p>
    <w:p>
      <w:pPr>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基于实地调研数据对外贸企业人才需求现状进行分析,并结合安徽省外贸出口发展特征探讨国际贸易专业现有课程体系存在的问题,进而提出地方性应用型民办本科高校进一步优化现有课程体系的对策建议,以实现该层次院校教学质量和办学水平的进一步提高。 </w:t>
      </w:r>
    </w:p>
    <w:p>
      <w:pPr>
        <w:keepNext w:val="0"/>
        <w:keepLines w:val="0"/>
        <w:pageBreakBefore w:val="0"/>
        <w:kinsoku/>
        <w:wordWrap/>
        <w:overflowPunct/>
        <w:topLinePunct w:val="0"/>
        <w:autoSpaceDE/>
        <w:autoSpaceDN/>
        <w:bidi w:val="0"/>
        <w:adjustRightInd/>
        <w:snapToGrid/>
        <w:spacing w:line="360" w:lineRule="auto"/>
        <w:textAlignment w:val="auto"/>
      </w:pPr>
    </w:p>
    <w:p>
      <w:pPr>
        <w:keepNext w:val="0"/>
        <w:keepLines w:val="0"/>
        <w:pageBreakBefore w:val="0"/>
        <w:kinsoku/>
        <w:wordWrap/>
        <w:overflowPunct/>
        <w:topLinePunct w:val="0"/>
        <w:autoSpaceDE/>
        <w:autoSpaceDN/>
        <w:bidi w:val="0"/>
        <w:adjustRightInd/>
        <w:snapToGrid/>
        <w:spacing w:line="360" w:lineRule="auto"/>
        <w:textAlignment w:val="auto"/>
      </w:pPr>
    </w:p>
    <w:p/>
    <w:p/>
    <w:p/>
    <w:p/>
    <w:p/>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新型城镇化与城市郊区化交互效应——基于灰色经济计量组合模型的实证分析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谢明柱</w:t>
      </w:r>
      <w:r>
        <w:rPr>
          <w:rFonts w:hint="eastAsia" w:cs="宋体"/>
          <w:b/>
          <w:bCs/>
          <w:i w:val="0"/>
          <w:iCs w:val="0"/>
          <w:caps w:val="0"/>
          <w:color w:val="auto"/>
          <w:spacing w:val="0"/>
          <w:sz w:val="21"/>
          <w:szCs w:val="21"/>
          <w:u w:val="none"/>
          <w:shd w:val="clear" w:fill="FFFFFF"/>
          <w:lang w:val="en-US" w:eastAsia="zh-CN"/>
        </w:rPr>
        <w:t xml:space="preserve"> </w:t>
      </w:r>
      <w:r>
        <w:rPr>
          <w:rFonts w:hint="eastAsia" w:ascii="宋体" w:hAnsi="宋体" w:eastAsia="宋体" w:cs="宋体"/>
          <w:b/>
          <w:bCs/>
          <w:i w:val="0"/>
          <w:iCs w:val="0"/>
          <w:caps w:val="0"/>
          <w:color w:val="auto"/>
          <w:spacing w:val="0"/>
          <w:sz w:val="21"/>
          <w:szCs w:val="21"/>
          <w:u w:val="none"/>
          <w:shd w:val="clear" w:fill="FFFFFF"/>
        </w:rPr>
        <w:t>王磊</w:t>
      </w:r>
      <w:r>
        <w:rPr>
          <w:rFonts w:hint="eastAsia" w:cs="宋体"/>
          <w:b/>
          <w:bCs/>
          <w:i w:val="0"/>
          <w:iCs w:val="0"/>
          <w:caps w:val="0"/>
          <w:color w:val="auto"/>
          <w:spacing w:val="0"/>
          <w:sz w:val="21"/>
          <w:szCs w:val="21"/>
          <w:u w:val="none"/>
          <w:shd w:val="clear" w:fill="FFFFFF"/>
          <w:lang w:val="en-US" w:eastAsia="zh-CN"/>
        </w:rPr>
        <w:t xml:space="preserve"> </w:t>
      </w:r>
      <w:r>
        <w:rPr>
          <w:rFonts w:hint="eastAsia" w:ascii="宋体" w:hAnsi="宋体" w:eastAsia="宋体" w:cs="宋体"/>
          <w:b/>
          <w:bCs/>
          <w:i w:val="0"/>
          <w:iCs w:val="0"/>
          <w:caps w:val="0"/>
          <w:color w:val="auto"/>
          <w:spacing w:val="0"/>
          <w:sz w:val="21"/>
          <w:szCs w:val="21"/>
          <w:u w:val="none"/>
          <w:shd w:val="clear" w:fill="FFFFFF"/>
        </w:rPr>
        <w:t>张宾</w:t>
      </w:r>
    </w:p>
    <w:p>
      <w:pPr>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以我国新型城镇化和城市郊区化之间的交互效应为研究主线,探索新型城镇化和城市郊区化在人口迁移、产业结构调整、交通运输条件等主要内容和动力方面的关系。新型城镇化与城市郊区化在发展目标上有着诸多的内在联系,其中人口迁移、产业结构调整、交通运输是新型城镇化和城市郊区化实现交互效应的主要渠道,但现阶段我国新型城镇化和城市郊区化的交互效应还不是非常密切,应该以新型城镇化的发展理念和思想指导城市郊区化高效发展。 </w:t>
      </w:r>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textAlignment w:val="center"/>
        <w:rPr>
          <w:rFonts w:hint="eastAsia" w:ascii="宋体" w:hAnsi="宋体" w:eastAsia="宋体" w:cs="宋体"/>
          <w:b/>
          <w:bCs/>
          <w:i w:val="0"/>
          <w:iCs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引导大学生全面认识西方社会思潮的影响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吴兆雪</w:t>
      </w:r>
      <w:r>
        <w:rPr>
          <w:rFonts w:hint="eastAsia" w:cs="宋体"/>
          <w:b/>
          <w:bCs/>
          <w:i w:val="0"/>
          <w:iCs w:val="0"/>
          <w:caps w:val="0"/>
          <w:color w:val="auto"/>
          <w:spacing w:val="0"/>
          <w:sz w:val="21"/>
          <w:szCs w:val="21"/>
          <w:u w:val="none"/>
          <w:shd w:val="clear" w:fill="FFFFFF"/>
          <w:lang w:val="en-US" w:eastAsia="zh-CN"/>
        </w:rPr>
        <w:t xml:space="preserve"> </w:t>
      </w:r>
      <w:r>
        <w:rPr>
          <w:rFonts w:hint="eastAsia" w:ascii="宋体" w:hAnsi="宋体" w:eastAsia="宋体" w:cs="宋体"/>
          <w:b/>
          <w:bCs/>
          <w:i w:val="0"/>
          <w:iCs w:val="0"/>
          <w:caps w:val="0"/>
          <w:color w:val="auto"/>
          <w:spacing w:val="0"/>
          <w:sz w:val="21"/>
          <w:szCs w:val="21"/>
          <w:u w:val="none"/>
          <w:shd w:val="clear" w:fill="FFFFFF"/>
        </w:rPr>
        <w:t>董丽娟</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在全球化、信息化、网络化的时代背景下,西方各种思想文化和社会思潮源源不断地涌入中国,深刻影响了我国各社会群体特别是大学生的思想观念及对主流意识形态的认知和构建。对此,必须引导大学生正确运用马克思主义的立场、观点和方法,全面分析与认识西方社会思潮的影响,既要有效地抵制不利于大学生成长的错误思潮,又要有效地吸取其有益的内容,从而提升大学生思想政治素质,坚定树立中国特色社会主义的理想信念,积极投身于贯彻落实党的十九大精神,实现中华民族伟大复兴中国梦的伟大事业。 </w:t>
      </w:r>
    </w:p>
    <w:p>
      <w:pPr>
        <w:keepNext w:val="0"/>
        <w:keepLines w:val="0"/>
        <w:pageBreakBefore w:val="0"/>
        <w:kinsoku/>
        <w:wordWrap/>
        <w:overflowPunct/>
        <w:topLinePunct w:val="0"/>
        <w:autoSpaceDE/>
        <w:autoSpaceDN/>
        <w:bidi w:val="0"/>
        <w:adjustRightInd/>
        <w:snapToGrid/>
        <w:spacing w:line="360" w:lineRule="auto"/>
        <w:textAlignment w:val="auto"/>
      </w:pPr>
    </w:p>
    <w:p/>
    <w:p/>
    <w:p/>
    <w:p/>
    <w:p/>
    <w:p/>
    <w:p/>
    <w:tbl>
      <w:tblPr>
        <w:tblStyle w:val="7"/>
        <w:tblpPr w:leftFromText="180" w:rightFromText="180" w:vertAnchor="text" w:horzAnchor="page" w:tblpX="1861" w:tblpY="181"/>
        <w:tblW w:w="0" w:type="auto"/>
        <w:tblInd w:w="0" w:type="dxa"/>
        <w:tblBorders>
          <w:top w:val="dashDotStroked" w:color="auto" w:sz="24" w:space="0"/>
          <w:left w:val="dashDotStroked" w:color="auto" w:sz="24" w:space="0"/>
          <w:bottom w:val="dashDotStroked" w:color="auto" w:sz="24" w:space="0"/>
          <w:right w:val="dashDotStroked" w:color="auto" w:sz="24" w:space="0"/>
          <w:insideH w:val="none" w:color="auto" w:sz="0" w:space="0"/>
          <w:insideV w:val="none" w:color="auto" w:sz="0" w:space="0"/>
        </w:tblBorders>
        <w:tblLayout w:type="fixed"/>
        <w:tblCellMar>
          <w:top w:w="0" w:type="dxa"/>
          <w:left w:w="108" w:type="dxa"/>
          <w:bottom w:w="0" w:type="dxa"/>
          <w:right w:w="108" w:type="dxa"/>
        </w:tblCellMar>
      </w:tblPr>
      <w:tblGrid>
        <w:gridCol w:w="1638"/>
      </w:tblGrid>
      <w:tr>
        <w:tblPrEx>
          <w:tblBorders>
            <w:top w:val="dashDotStroked" w:color="auto" w:sz="24" w:space="0"/>
            <w:left w:val="dashDotStroked" w:color="auto" w:sz="24" w:space="0"/>
            <w:bottom w:val="dashDotStroked" w:color="auto" w:sz="24" w:space="0"/>
            <w:right w:val="dashDotStroked" w:color="auto" w:sz="2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38" w:type="dxa"/>
            <w:tcBorders>
              <w:top w:val="dashDotStroked" w:color="auto" w:sz="24" w:space="0"/>
              <w:left w:val="dashDotStroked" w:color="auto" w:sz="24" w:space="0"/>
              <w:bottom w:val="dashDotStroked" w:color="auto" w:sz="24" w:space="0"/>
              <w:right w:val="dashDotStroked" w:color="auto" w:sz="24" w:space="0"/>
            </w:tcBorders>
            <w:vAlign w:val="center"/>
          </w:tcPr>
          <w:p>
            <w:pPr>
              <w:spacing w:line="520" w:lineRule="exact"/>
              <w:jc w:val="center"/>
              <w:rPr>
                <w:rFonts w:ascii="宋体" w:hAnsi="宋体" w:eastAsia="宋体" w:cs="Times New Roman"/>
                <w:b/>
                <w:sz w:val="30"/>
                <w:szCs w:val="30"/>
              </w:rPr>
            </w:pPr>
            <w:r>
              <w:rPr>
                <w:rFonts w:hint="eastAsia" w:ascii="宋体" w:hAnsi="宋体" w:eastAsia="宋体" w:cs="Times New Roman"/>
                <w:b/>
                <w:sz w:val="30"/>
                <w:szCs w:val="30"/>
              </w:rPr>
              <w:t>转载引用</w:t>
            </w:r>
          </w:p>
        </w:tc>
      </w:tr>
    </w:tbl>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default" w:ascii="宋体" w:hAnsi="宋体" w:eastAsia="宋体" w:cs="宋体"/>
          <w:b w:val="0"/>
          <w:bCs w:val="0"/>
          <w:color w:val="333333"/>
          <w:sz w:val="28"/>
          <w:szCs w:val="28"/>
          <w:lang w:val="en-US" w:eastAsia="zh-CN"/>
        </w:rPr>
      </w:pPr>
      <w:r>
        <w:rPr>
          <w:rFonts w:hint="eastAsia" w:cs="宋体"/>
          <w:b w:val="0"/>
          <w:bCs w:val="0"/>
          <w:i w:val="0"/>
          <w:iCs w:val="0"/>
          <w:caps w:val="0"/>
          <w:color w:val="333333"/>
          <w:spacing w:val="0"/>
          <w:sz w:val="28"/>
          <w:szCs w:val="28"/>
          <w:shd w:val="clear" w:fill="FFFFFF"/>
          <w:lang w:val="en-US" w:eastAsia="zh-CN"/>
        </w:rPr>
        <w:t>1.朱镜人论文：“</w:t>
      </w:r>
      <w:r>
        <w:rPr>
          <w:rFonts w:hint="eastAsia" w:ascii="宋体" w:hAnsi="宋体" w:eastAsia="宋体" w:cs="宋体"/>
          <w:b w:val="0"/>
          <w:bCs w:val="0"/>
          <w:i w:val="0"/>
          <w:iCs w:val="0"/>
          <w:caps w:val="0"/>
          <w:color w:val="333333"/>
          <w:spacing w:val="0"/>
          <w:sz w:val="28"/>
          <w:szCs w:val="28"/>
          <w:shd w:val="clear" w:fill="FFFFFF"/>
        </w:rPr>
        <w:t>古典教育到底有什么价值?——《保卫古典教育》解读</w:t>
      </w:r>
      <w:r>
        <w:rPr>
          <w:rFonts w:hint="eastAsia" w:cs="宋体"/>
          <w:b w:val="0"/>
          <w:bCs w:val="0"/>
          <w:i w:val="0"/>
          <w:iCs w:val="0"/>
          <w:caps w:val="0"/>
          <w:color w:val="333333"/>
          <w:spacing w:val="0"/>
          <w:sz w:val="28"/>
          <w:szCs w:val="28"/>
          <w:shd w:val="clear" w:fill="FFFFFF"/>
          <w:lang w:eastAsia="zh-CN"/>
        </w:rPr>
        <w:t>”</w:t>
      </w:r>
      <w:r>
        <w:rPr>
          <w:rFonts w:hint="eastAsia" w:cs="宋体"/>
          <w:b w:val="0"/>
          <w:bCs w:val="0"/>
          <w:i w:val="0"/>
          <w:iCs w:val="0"/>
          <w:caps w:val="0"/>
          <w:color w:val="333333"/>
          <w:spacing w:val="0"/>
          <w:sz w:val="28"/>
          <w:szCs w:val="28"/>
          <w:shd w:val="clear" w:fill="FFFFFF"/>
          <w:lang w:val="en-US" w:eastAsia="zh-CN"/>
        </w:rPr>
        <w:t>引用3次。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default" w:ascii="宋体" w:hAnsi="宋体" w:eastAsia="宋体" w:cs="宋体"/>
          <w:b w:val="0"/>
          <w:bCs w:val="0"/>
          <w:color w:val="333333"/>
          <w:sz w:val="28"/>
          <w:szCs w:val="28"/>
          <w:lang w:val="en-US" w:eastAsia="zh-CN"/>
        </w:rPr>
      </w:pPr>
      <w:r>
        <w:rPr>
          <w:rFonts w:hint="eastAsia" w:cs="宋体"/>
          <w:b w:val="0"/>
          <w:bCs w:val="0"/>
          <w:i w:val="0"/>
          <w:iCs w:val="0"/>
          <w:caps w:val="0"/>
          <w:color w:val="333333"/>
          <w:spacing w:val="0"/>
          <w:sz w:val="28"/>
          <w:szCs w:val="28"/>
          <w:shd w:val="clear" w:fill="FFFFFF"/>
          <w:lang w:val="en-US" w:eastAsia="zh-CN"/>
        </w:rPr>
        <w:t>2.朱镜人论文：“</w:t>
      </w:r>
      <w:r>
        <w:rPr>
          <w:rFonts w:hint="eastAsia" w:ascii="宋体" w:hAnsi="宋体" w:eastAsia="宋体" w:cs="宋体"/>
          <w:b w:val="0"/>
          <w:bCs w:val="0"/>
          <w:i w:val="0"/>
          <w:iCs w:val="0"/>
          <w:caps w:val="0"/>
          <w:color w:val="333333"/>
          <w:spacing w:val="0"/>
          <w:sz w:val="28"/>
          <w:szCs w:val="28"/>
          <w:shd w:val="clear" w:fill="FFFFFF"/>
        </w:rPr>
        <w:t>英国城市大学文科发展的特点与原因分析</w:t>
      </w:r>
      <w:r>
        <w:rPr>
          <w:rFonts w:hint="eastAsia" w:cs="宋体"/>
          <w:b w:val="0"/>
          <w:bCs w:val="0"/>
          <w:i w:val="0"/>
          <w:iCs w:val="0"/>
          <w:caps w:val="0"/>
          <w:color w:val="333333"/>
          <w:spacing w:val="0"/>
          <w:sz w:val="28"/>
          <w:szCs w:val="28"/>
          <w:shd w:val="clear" w:fill="FFFFFF"/>
          <w:lang w:eastAsia="zh-CN"/>
        </w:rPr>
        <w:t>”</w:t>
      </w:r>
      <w:r>
        <w:rPr>
          <w:rFonts w:hint="eastAsia" w:cs="宋体"/>
          <w:b w:val="0"/>
          <w:bCs w:val="0"/>
          <w:i w:val="0"/>
          <w:iCs w:val="0"/>
          <w:caps w:val="0"/>
          <w:color w:val="333333"/>
          <w:spacing w:val="0"/>
          <w:sz w:val="28"/>
          <w:szCs w:val="28"/>
          <w:shd w:val="clear" w:fill="FFFFFF"/>
          <w:lang w:val="en-US" w:eastAsia="zh-CN"/>
        </w:rPr>
        <w:t>引用3次。</w:t>
      </w:r>
    </w:p>
    <w:p>
      <w:pPr>
        <w:jc w:val="left"/>
        <w:rPr>
          <w:rFonts w:hint="default" w:eastAsia="宋体"/>
          <w:b w:val="0"/>
          <w:bCs w:val="0"/>
          <w:lang w:val="en-US" w:eastAsia="zh-CN"/>
        </w:rPr>
      </w:pPr>
      <w:r>
        <w:rPr>
          <w:rFonts w:hint="eastAsia" w:ascii="宋体" w:hAnsi="宋体" w:eastAsia="宋体" w:cs="宋体"/>
          <w:b w:val="0"/>
          <w:bCs w:val="0"/>
          <w:i w:val="0"/>
          <w:iCs w:val="0"/>
          <w:caps w:val="0"/>
          <w:color w:val="333333"/>
          <w:spacing w:val="0"/>
          <w:sz w:val="28"/>
          <w:szCs w:val="28"/>
          <w:shd w:val="clear" w:fill="FFFFFF"/>
          <w:lang w:val="en-US" w:eastAsia="zh-CN"/>
        </w:rPr>
        <w:t>3.计勇论文：“</w:t>
      </w:r>
      <w:r>
        <w:rPr>
          <w:rFonts w:hint="eastAsia" w:ascii="宋体" w:hAnsi="宋体" w:eastAsia="宋体" w:cs="宋体"/>
          <w:b w:val="0"/>
          <w:bCs w:val="0"/>
          <w:i w:val="0"/>
          <w:iCs w:val="0"/>
          <w:caps w:val="0"/>
          <w:color w:val="333333"/>
          <w:spacing w:val="0"/>
          <w:sz w:val="28"/>
          <w:szCs w:val="28"/>
          <w:shd w:val="clear" w:fill="FFFFFF"/>
        </w:rPr>
        <w:t>论大学生创业教育中模块化课程体系的构建——以法律课程为例</w:t>
      </w:r>
      <w:r>
        <w:rPr>
          <w:rFonts w:hint="eastAsia" w:ascii="宋体" w:hAnsi="宋体" w:eastAsia="宋体" w:cs="宋体"/>
          <w:b w:val="0"/>
          <w:bCs w:val="0"/>
          <w:i w:val="0"/>
          <w:iCs w:val="0"/>
          <w:caps w:val="0"/>
          <w:color w:val="333333"/>
          <w:spacing w:val="0"/>
          <w:sz w:val="28"/>
          <w:szCs w:val="28"/>
          <w:shd w:val="clear" w:fill="FFFFFF"/>
          <w:lang w:eastAsia="zh-CN"/>
        </w:rPr>
        <w:t>”</w:t>
      </w:r>
      <w:r>
        <w:rPr>
          <w:rFonts w:hint="eastAsia" w:ascii="宋体" w:hAnsi="宋体" w:eastAsia="宋体" w:cs="宋体"/>
          <w:b w:val="0"/>
          <w:bCs w:val="0"/>
          <w:i w:val="0"/>
          <w:iCs w:val="0"/>
          <w:caps w:val="0"/>
          <w:color w:val="333333"/>
          <w:spacing w:val="0"/>
          <w:sz w:val="28"/>
          <w:szCs w:val="28"/>
          <w:shd w:val="clear" w:fill="FFFFFF"/>
          <w:lang w:val="en-US" w:eastAsia="zh-CN"/>
        </w:rPr>
        <w:t>引用2次。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default" w:ascii="宋体" w:hAnsi="宋体" w:eastAsia="宋体" w:cs="宋体"/>
          <w:b w:val="0"/>
          <w:bCs w:val="0"/>
          <w:color w:val="333333"/>
          <w:sz w:val="28"/>
          <w:szCs w:val="28"/>
          <w:lang w:val="en-US" w:eastAsia="zh-CN"/>
        </w:rPr>
      </w:pPr>
      <w:r>
        <w:rPr>
          <w:rFonts w:hint="eastAsia" w:cs="宋体"/>
          <w:b w:val="0"/>
          <w:bCs w:val="0"/>
          <w:i w:val="0"/>
          <w:iCs w:val="0"/>
          <w:caps w:val="0"/>
          <w:color w:val="333333"/>
          <w:spacing w:val="0"/>
          <w:sz w:val="28"/>
          <w:szCs w:val="28"/>
          <w:shd w:val="clear" w:fill="FFFFFF"/>
          <w:lang w:val="en-US" w:eastAsia="zh-CN"/>
        </w:rPr>
        <w:t>4.韦钰芳论文：“</w:t>
      </w:r>
      <w:r>
        <w:rPr>
          <w:rFonts w:hint="eastAsia" w:ascii="宋体" w:hAnsi="宋体" w:eastAsia="宋体" w:cs="宋体"/>
          <w:b w:val="0"/>
          <w:bCs w:val="0"/>
          <w:i w:val="0"/>
          <w:iCs w:val="0"/>
          <w:caps w:val="0"/>
          <w:color w:val="333333"/>
          <w:spacing w:val="0"/>
          <w:sz w:val="28"/>
          <w:szCs w:val="28"/>
          <w:shd w:val="clear" w:fill="FFFFFF"/>
        </w:rPr>
        <w:t>跨境电商背景下国际贸易专业大学生创新创业素质培养研究</w:t>
      </w:r>
      <w:r>
        <w:rPr>
          <w:rFonts w:hint="eastAsia" w:cs="宋体"/>
          <w:b w:val="0"/>
          <w:bCs w:val="0"/>
          <w:i w:val="0"/>
          <w:iCs w:val="0"/>
          <w:caps w:val="0"/>
          <w:color w:val="333333"/>
          <w:spacing w:val="0"/>
          <w:sz w:val="28"/>
          <w:szCs w:val="28"/>
          <w:shd w:val="clear" w:fill="FFFFFF"/>
          <w:lang w:eastAsia="zh-CN"/>
        </w:rPr>
        <w:t>”</w:t>
      </w:r>
      <w:r>
        <w:rPr>
          <w:rFonts w:hint="eastAsia" w:cs="宋体"/>
          <w:b w:val="0"/>
          <w:bCs w:val="0"/>
          <w:i w:val="0"/>
          <w:iCs w:val="0"/>
          <w:caps w:val="0"/>
          <w:color w:val="333333"/>
          <w:spacing w:val="0"/>
          <w:sz w:val="28"/>
          <w:szCs w:val="28"/>
          <w:shd w:val="clear" w:fill="FFFFFF"/>
          <w:lang w:val="en-US" w:eastAsia="zh-CN"/>
        </w:rPr>
        <w:t>引用4次。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default" w:ascii="宋体" w:hAnsi="宋体" w:eastAsia="宋体" w:cs="宋体"/>
          <w:b w:val="0"/>
          <w:bCs w:val="0"/>
          <w:color w:val="333333"/>
          <w:sz w:val="28"/>
          <w:szCs w:val="28"/>
          <w:lang w:val="en-US" w:eastAsia="zh-CN"/>
        </w:rPr>
      </w:pPr>
      <w:r>
        <w:rPr>
          <w:rFonts w:hint="eastAsia" w:cs="宋体"/>
          <w:b w:val="0"/>
          <w:bCs w:val="0"/>
          <w:i w:val="0"/>
          <w:iCs w:val="0"/>
          <w:caps w:val="0"/>
          <w:color w:val="333333"/>
          <w:spacing w:val="0"/>
          <w:sz w:val="28"/>
          <w:szCs w:val="28"/>
          <w:shd w:val="clear" w:fill="FFFFFF"/>
          <w:lang w:val="en-US" w:eastAsia="zh-CN"/>
        </w:rPr>
        <w:t>5.杨学荣论文：“</w:t>
      </w:r>
      <w:r>
        <w:rPr>
          <w:rFonts w:hint="eastAsia" w:ascii="宋体" w:hAnsi="宋体" w:eastAsia="宋体" w:cs="宋体"/>
          <w:b w:val="0"/>
          <w:bCs w:val="0"/>
          <w:i w:val="0"/>
          <w:iCs w:val="0"/>
          <w:caps w:val="0"/>
          <w:color w:val="333333"/>
          <w:spacing w:val="0"/>
          <w:sz w:val="28"/>
          <w:szCs w:val="28"/>
          <w:shd w:val="clear" w:fill="FFFFFF"/>
        </w:rPr>
        <w:t>应用型民办本科院校国贸专业课程体系创新研究——以安徽新华学院为例</w:t>
      </w:r>
      <w:r>
        <w:rPr>
          <w:rFonts w:hint="eastAsia" w:cs="宋体"/>
          <w:b w:val="0"/>
          <w:bCs w:val="0"/>
          <w:i w:val="0"/>
          <w:iCs w:val="0"/>
          <w:caps w:val="0"/>
          <w:color w:val="333333"/>
          <w:spacing w:val="0"/>
          <w:sz w:val="28"/>
          <w:szCs w:val="28"/>
          <w:shd w:val="clear" w:fill="FFFFFF"/>
          <w:lang w:eastAsia="zh-CN"/>
        </w:rPr>
        <w:t>”</w:t>
      </w:r>
      <w:r>
        <w:rPr>
          <w:rFonts w:hint="eastAsia" w:cs="宋体"/>
          <w:b w:val="0"/>
          <w:bCs w:val="0"/>
          <w:i w:val="0"/>
          <w:iCs w:val="0"/>
          <w:caps w:val="0"/>
          <w:color w:val="333333"/>
          <w:spacing w:val="0"/>
          <w:sz w:val="28"/>
          <w:szCs w:val="28"/>
          <w:shd w:val="clear" w:fill="FFFFFF"/>
          <w:lang w:val="en-US" w:eastAsia="zh-CN"/>
        </w:rPr>
        <w:t>引用2次。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default" w:ascii="宋体" w:hAnsi="宋体" w:eastAsia="宋体" w:cs="宋体"/>
          <w:b w:val="0"/>
          <w:bCs w:val="0"/>
          <w:color w:val="333333"/>
          <w:sz w:val="28"/>
          <w:szCs w:val="28"/>
          <w:lang w:val="en-US" w:eastAsia="zh-CN"/>
        </w:rPr>
      </w:pPr>
      <w:r>
        <w:rPr>
          <w:rFonts w:hint="eastAsia" w:cs="宋体"/>
          <w:b w:val="0"/>
          <w:bCs w:val="0"/>
          <w:i w:val="0"/>
          <w:iCs w:val="0"/>
          <w:caps w:val="0"/>
          <w:color w:val="333333"/>
          <w:spacing w:val="0"/>
          <w:sz w:val="28"/>
          <w:szCs w:val="28"/>
          <w:shd w:val="clear" w:fill="FFFFFF"/>
          <w:lang w:val="en-US" w:eastAsia="zh-CN"/>
        </w:rPr>
        <w:t>6.谢明柱论文：“</w:t>
      </w:r>
      <w:r>
        <w:rPr>
          <w:rFonts w:hint="eastAsia" w:ascii="宋体" w:hAnsi="宋体" w:eastAsia="宋体" w:cs="宋体"/>
          <w:b w:val="0"/>
          <w:bCs w:val="0"/>
          <w:i w:val="0"/>
          <w:iCs w:val="0"/>
          <w:caps w:val="0"/>
          <w:color w:val="333333"/>
          <w:spacing w:val="0"/>
          <w:sz w:val="28"/>
          <w:szCs w:val="28"/>
          <w:shd w:val="clear" w:fill="FFFFFF"/>
        </w:rPr>
        <w:t>新型城镇化与城市郊区化交互效应——基于灰色经济计量组合模型的实证分析</w:t>
      </w:r>
      <w:r>
        <w:rPr>
          <w:rFonts w:hint="eastAsia" w:cs="宋体"/>
          <w:b w:val="0"/>
          <w:bCs w:val="0"/>
          <w:i w:val="0"/>
          <w:iCs w:val="0"/>
          <w:caps w:val="0"/>
          <w:color w:val="333333"/>
          <w:spacing w:val="0"/>
          <w:sz w:val="28"/>
          <w:szCs w:val="28"/>
          <w:shd w:val="clear" w:fill="FFFFFF"/>
          <w:lang w:eastAsia="zh-CN"/>
        </w:rPr>
        <w:t>”</w:t>
      </w:r>
      <w:r>
        <w:rPr>
          <w:rFonts w:hint="eastAsia" w:cs="宋体"/>
          <w:b w:val="0"/>
          <w:bCs w:val="0"/>
          <w:i w:val="0"/>
          <w:iCs w:val="0"/>
          <w:caps w:val="0"/>
          <w:color w:val="333333"/>
          <w:spacing w:val="0"/>
          <w:sz w:val="28"/>
          <w:szCs w:val="28"/>
          <w:shd w:val="clear" w:fill="FFFFFF"/>
          <w:lang w:val="en-US" w:eastAsia="zh-CN"/>
        </w:rPr>
        <w:t>引用4次。</w:t>
      </w:r>
    </w:p>
    <w:p>
      <w:pPr>
        <w:jc w:val="left"/>
        <w:rPr>
          <w:b w:val="0"/>
          <w:bCs w:val="0"/>
        </w:rPr>
      </w:pPr>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9789D"/>
    <w:rsid w:val="01DF40F4"/>
    <w:rsid w:val="0C8E02FF"/>
    <w:rsid w:val="1461628D"/>
    <w:rsid w:val="1B731CD8"/>
    <w:rsid w:val="1E5F3CEB"/>
    <w:rsid w:val="1E7D173F"/>
    <w:rsid w:val="1F89789D"/>
    <w:rsid w:val="4C194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2021-11-26T10:30:00Z</dcterms:created>
  <dc:creator>Lenovo</dc:creator>
  <cp:lastModifiedBy>林斗秀</cp:lastModifiedBy>
  <dcterms:modified xsi:type="dcterms:W3CDTF">2022-02-15T02:02:47Z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DA56B593890848B6B823938589022187</vt:lpwstr>
  </property>
</Properties>
</file>