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jc w:val="center"/>
        <w:rPr>
          <w:rFonts w:ascii="楷体" w:hAnsi="楷体" w:eastAsia="楷体" w:cs="Times New Roman"/>
          <w:b/>
          <w:bCs/>
          <w:color w:val="FF0000"/>
          <w:sz w:val="92"/>
          <w:szCs w:val="92"/>
        </w:rPr>
      </w:pPr>
      <w:r>
        <w:rPr>
          <w:rFonts w:ascii="楷体" w:hAnsi="楷体" w:eastAsia="楷体" w:cs="Times New Roman"/>
          <w:b/>
          <w:bCs/>
          <w:color w:val="FF0000"/>
          <w:sz w:val="92"/>
          <w:szCs w:val="92"/>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5080</wp:posOffset>
                </wp:positionV>
                <wp:extent cx="2036445" cy="883920"/>
                <wp:effectExtent l="5080" t="4445" r="15875" b="698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036445" cy="883920"/>
                        </a:xfrm>
                        <a:prstGeom prst="rect">
                          <a:avLst/>
                        </a:prstGeom>
                        <a:solidFill>
                          <a:srgbClr val="FFFFFF"/>
                        </a:solidFill>
                        <a:ln w="9525">
                          <a:solidFill>
                            <a:srgbClr val="000000"/>
                          </a:solidFill>
                          <a:miter lim="800000"/>
                        </a:ln>
                        <a:effectLst/>
                      </wps:spPr>
                      <wps:txbx>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pt;margin-top:0.4pt;height:69.6pt;width:160.35pt;z-index:251661312;mso-width-relative:page;mso-height-relative:page;" fillcolor="#FFFFFF" filled="t" stroked="t" coordsize="21600,21600" o:gfxdata="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kRuZtcAAAAHAQAADwAAAAAAAAABACAA&#10;AAAiAAAAZHJzL2Rvd25yZXYueG1sUEsBAhQAFAAAAAgAh07iQE/GUtJHAgAAlQQAAA4AAAAAAAAA&#10;AQAgAAAAJgEAAGRycy9lMm9Eb2MueG1sUEsFBgAAAAAGAAYAWQEAAN8FAAAAAA==&#10;">
                <v:fill on="t" focussize="0,0"/>
                <v:stroke color="#000000" miterlimit="8" joinstyle="miter"/>
                <v:imagedata o:title=""/>
                <o:lock v:ext="edit" aspectratio="f"/>
                <v:textbox>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v:textbox>
              </v:shape>
            </w:pict>
          </mc:Fallback>
        </mc:AlternateContent>
      </w:r>
    </w:p>
    <w:p>
      <w:pPr>
        <w:adjustRightInd w:val="0"/>
        <w:snapToGrid w:val="0"/>
        <w:spacing w:after="312" w:afterLines="100"/>
        <w:jc w:val="center"/>
        <w:rPr>
          <w:rFonts w:ascii="华文新魏" w:hAnsi="楷体" w:eastAsia="华文新魏" w:cs="Times New Roman"/>
          <w:b/>
          <w:bCs/>
          <w:color w:val="FF0000"/>
          <w:sz w:val="120"/>
          <w:szCs w:val="120"/>
        </w:rPr>
      </w:pPr>
      <w:r>
        <w:rPr>
          <w:rFonts w:ascii="华文新魏" w:hAnsi="楷体" w:eastAsia="华文新魏" w:cs="Times New Roman"/>
          <w:b/>
          <w:bCs/>
          <w:color w:val="FF0000"/>
          <w:sz w:val="120"/>
          <w:szCs w:val="120"/>
        </w:rPr>
        <mc:AlternateContent>
          <mc:Choice Requires="wps">
            <w:drawing>
              <wp:inline distT="0" distB="0" distL="0" distR="0">
                <wp:extent cx="5400675" cy="1209675"/>
                <wp:effectExtent l="0" t="0" r="0" b="0"/>
                <wp:docPr id="1" name="文本框 1"/>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675" cy="1209675"/>
                        </a:xfrm>
                        <a:prstGeom prst="rect">
                          <a:avLst/>
                        </a:prstGeom>
                      </wps:spPr>
                      <wps:txbx>
                        <w:txbxContent>
                          <w:p>
                            <w:pPr>
                              <w:pStyle w:val="6"/>
                              <w:spacing w:before="0" w:beforeAutospacing="0" w:after="0" w:afterAutospacing="0"/>
                              <w:jc w:val="center"/>
                            </w:pPr>
                            <w:r>
                              <w:rPr>
                                <w:rFonts w:hint="eastAsia"/>
                                <w:b/>
                                <w:bCs/>
                                <w:color w:val="FF0000"/>
                                <w:sz w:val="72"/>
                                <w:szCs w:val="72"/>
                                <w14:textOutline w14:w="9525" w14:cap="flat" w14:cmpd="sng" w14:algn="ctr">
                                  <w14:solidFill>
                                    <w14:srgbClr w14:val="FF0000"/>
                                  </w14:solidFill>
                                  <w14:prstDash w14:val="solid"/>
                                  <w14:round/>
                                </w14:textOutline>
                              </w:rPr>
                              <w:t>大学生素质教育研究中心成果简报</w:t>
                            </w:r>
                          </w:p>
                        </w:txbxContent>
                      </wps:txbx>
                      <wps:bodyPr wrap="square" numCol="1" fromWordArt="1">
                        <a:prstTxWarp prst="textPlain">
                          <a:avLst>
                            <a:gd name="adj" fmla="val 50000"/>
                          </a:avLst>
                        </a:prstTxWarp>
                        <a:spAutoFit/>
                      </wps:bodyPr>
                    </wps:wsp>
                  </a:graphicData>
                </a:graphic>
              </wp:inline>
            </w:drawing>
          </mc:Choice>
          <mc:Fallback>
            <w:pict>
              <v:shape id="_x0000_s1026" o:spid="_x0000_s1026" o:spt="202" type="#_x0000_t202" style="height:95.25pt;width:425.25pt;" filled="f" stroked="f" coordsize="21600,21600" o:gfxdata="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ZfnM9QAAAAF&#10;AQAADwAAAAAAAAABACAAAAAiAAAAZHJzL2Rvd25yZXYueG1sUEsBAhQAFAAAAAgAh07iQJT9CTYg&#10;AgAAKgQAAA4AAAAAAAAAAQAgAAAAIwEAAGRycy9lMm9Eb2MueG1sUEsFBgAAAAAGAAYAWQEAALUF&#10;AAAAAA==&#10;" adj="10800">
                <v:fill on="f" focussize="0,0"/>
                <v:stroke on="f"/>
                <v:imagedata o:title=""/>
                <o:lock v:ext="edit" text="t" aspectratio="f"/>
                <v:textbox style="mso-fit-shape-to-text:t;">
                  <w:txbxContent>
                    <w:p>
                      <w:pPr>
                        <w:pStyle w:val="6"/>
                        <w:spacing w:before="0" w:beforeAutospacing="0" w:after="0" w:afterAutospacing="0"/>
                        <w:jc w:val="center"/>
                      </w:pPr>
                      <w:r>
                        <w:rPr>
                          <w:rFonts w:hint="eastAsia"/>
                          <w:b/>
                          <w:bCs/>
                          <w:color w:val="FF0000"/>
                          <w:sz w:val="72"/>
                          <w:szCs w:val="72"/>
                          <w14:textOutline w14:w="9525" w14:cap="flat" w14:cmpd="sng" w14:algn="ctr">
                            <w14:solidFill>
                              <w14:srgbClr w14:val="FF0000"/>
                            </w14:solidFill>
                            <w14:prstDash w14:val="solid"/>
                            <w14:round/>
                          </w14:textOutline>
                        </w:rPr>
                        <w:t>大学生素质教育研究中心成果简报</w:t>
                      </w:r>
                    </w:p>
                  </w:txbxContent>
                </v:textbox>
                <w10:wrap type="none"/>
                <w10:anchorlock/>
              </v:shape>
            </w:pict>
          </mc:Fallback>
        </mc:AlternateContent>
      </w:r>
    </w:p>
    <w:p>
      <w:pPr>
        <w:adjustRightInd w:val="0"/>
        <w:snapToGrid w:val="0"/>
        <w:spacing w:after="312" w:afterLines="100" w:line="240" w:lineRule="atLeast"/>
        <w:jc w:val="center"/>
        <w:rPr>
          <w:rFonts w:ascii="黑体" w:hAnsi="华文中宋" w:eastAsia="黑体" w:cs="Times New Roman"/>
          <w:b/>
          <w:bCs/>
          <w:color w:val="000000"/>
          <w:sz w:val="10"/>
          <w:szCs w:val="10"/>
        </w:rPr>
      </w:pPr>
    </w:p>
    <w:p>
      <w:pPr>
        <w:adjustRightInd w:val="0"/>
        <w:snapToGrid w:val="0"/>
        <w:spacing w:after="312" w:afterLines="100" w:line="240" w:lineRule="atLeast"/>
        <w:jc w:val="center"/>
        <w:rPr>
          <w:rFonts w:ascii="黑体" w:hAnsi="华文中宋" w:eastAsia="黑体" w:cs="Times New Roman"/>
          <w:b/>
          <w:bCs/>
          <w:color w:val="000000"/>
          <w:sz w:val="36"/>
          <w:szCs w:val="24"/>
        </w:rPr>
      </w:pPr>
      <w:r>
        <w:rPr>
          <w:rFonts w:hint="eastAsia" w:ascii="黑体" w:hAnsi="华文中宋" w:eastAsia="黑体" w:cs="Times New Roman"/>
          <w:b/>
          <w:bCs/>
          <w:color w:val="000000"/>
          <w:sz w:val="36"/>
          <w:szCs w:val="24"/>
        </w:rPr>
        <w:t>2</w:t>
      </w:r>
      <w:r>
        <w:rPr>
          <w:rFonts w:hint="eastAsia" w:ascii="黑体" w:hAnsi="华文中宋" w:eastAsia="黑体" w:cs="Times New Roman"/>
          <w:b/>
          <w:bCs/>
          <w:color w:val="000000"/>
          <w:sz w:val="36"/>
          <w:szCs w:val="24"/>
          <w:lang w:val="en-US" w:eastAsia="zh-CN"/>
        </w:rPr>
        <w:t>018</w:t>
      </w:r>
      <w:r>
        <w:rPr>
          <w:rFonts w:hint="eastAsia" w:ascii="黑体" w:hAnsi="华文中宋" w:eastAsia="黑体" w:cs="Times New Roman"/>
          <w:b/>
          <w:bCs/>
          <w:color w:val="000000"/>
          <w:sz w:val="36"/>
          <w:szCs w:val="24"/>
        </w:rPr>
        <w:t>年第</w:t>
      </w:r>
      <w:r>
        <w:rPr>
          <w:rFonts w:hint="eastAsia" w:ascii="黑体" w:hAnsi="华文中宋" w:eastAsia="黑体" w:cs="Times New Roman"/>
          <w:b/>
          <w:bCs/>
          <w:color w:val="000000"/>
          <w:sz w:val="36"/>
          <w:szCs w:val="24"/>
          <w:lang w:val="en-US" w:eastAsia="zh-CN"/>
        </w:rPr>
        <w:t>2</w:t>
      </w:r>
      <w:r>
        <w:rPr>
          <w:rFonts w:hint="eastAsia" w:ascii="黑体" w:hAnsi="华文中宋" w:eastAsia="黑体" w:cs="Times New Roman"/>
          <w:b/>
          <w:bCs/>
          <w:color w:val="000000"/>
          <w:sz w:val="36"/>
          <w:szCs w:val="24"/>
        </w:rPr>
        <w:t>期</w:t>
      </w:r>
      <w:r>
        <w:rPr>
          <w:rFonts w:hint="eastAsia" w:ascii="黑体" w:hAnsi="华文中宋" w:eastAsia="黑体" w:cs="Times New Roman"/>
          <w:b/>
          <w:bCs/>
          <w:color w:val="FF0000"/>
          <w:sz w:val="36"/>
          <w:szCs w:val="24"/>
        </w:rPr>
        <w:t>(总第1</w:t>
      </w:r>
      <w:r>
        <w:rPr>
          <w:rFonts w:hint="eastAsia" w:ascii="黑体" w:hAnsi="华文中宋" w:eastAsia="黑体" w:cs="Times New Roman"/>
          <w:b/>
          <w:bCs/>
          <w:color w:val="FF0000"/>
          <w:sz w:val="36"/>
          <w:szCs w:val="24"/>
          <w:lang w:val="en-US" w:eastAsia="zh-CN"/>
        </w:rPr>
        <w:t>2</w:t>
      </w:r>
      <w:r>
        <w:rPr>
          <w:rFonts w:hint="eastAsia" w:ascii="黑体" w:hAnsi="华文中宋" w:eastAsia="黑体" w:cs="Times New Roman"/>
          <w:b/>
          <w:bCs/>
          <w:color w:val="FF0000"/>
          <w:sz w:val="36"/>
          <w:szCs w:val="24"/>
        </w:rPr>
        <w:t>期)</w:t>
      </w:r>
    </w:p>
    <w:p>
      <w:pPr>
        <w:adjustRightInd w:val="0"/>
        <w:snapToGrid w:val="0"/>
        <w:spacing w:after="249" w:afterLines="80"/>
        <w:rPr>
          <w:rFonts w:ascii="黑体" w:hAnsi="Times New Roman" w:eastAsia="黑体" w:cs="Times New Roman"/>
          <w:sz w:val="28"/>
          <w:szCs w:val="24"/>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271145</wp:posOffset>
                </wp:positionV>
                <wp:extent cx="5705475" cy="0"/>
                <wp:effectExtent l="0" t="13970" r="9525" b="2413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28575" cmpd="sng">
                          <a:solidFill>
                            <a:srgbClr val="FF0000"/>
                          </a:solidFill>
                          <a:round/>
                        </a:ln>
                      </wps:spPr>
                      <wps:bodyPr/>
                    </wps:wsp>
                  </a:graphicData>
                </a:graphic>
              </wp:anchor>
            </w:drawing>
          </mc:Choice>
          <mc:Fallback>
            <w:pict>
              <v:line id="_x0000_s1026" o:spid="_x0000_s1026" o:spt="20" style="position:absolute;left:0pt;margin-left:-12pt;margin-top:21.35pt;height:0pt;width:449.25pt;z-index:251660288;mso-width-relative:page;mso-height-relative:page;" filled="f" stroked="t" coordsize="21600,21600" o:gfxdata="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Q1+M9gAAAAJAQAADwAAAAAAAAABACAAAAAiAAAAZHJzL2Rvd25yZXYueG1sUEsBAhQAFAAAAAgA&#10;h07iQIRX8nXsAQAAtgMAAA4AAAAAAAAAAQAgAAAAJwEAAGRycy9lMm9Eb2MueG1sUEsFBgAAAAAG&#10;AAYAWQEAAIUFAAAAAA==&#10;">
                <v:fill on="f" focussize="0,0"/>
                <v:stroke weight="2.25pt" color="#FF0000" joinstyle="round"/>
                <v:imagedata o:title=""/>
                <o:lock v:ext="edit" aspectratio="f"/>
              </v:line>
            </w:pict>
          </mc:Fallback>
        </mc:AlternateContent>
      </w:r>
      <w:r>
        <w:rPr>
          <w:rFonts w:hint="eastAsia" w:ascii="黑体" w:hAnsi="Times New Roman" w:eastAsia="黑体" w:cs="Times New Roman"/>
          <w:sz w:val="28"/>
          <w:szCs w:val="24"/>
        </w:rPr>
        <w:t>安徽新华学院大学生素质教育研究中心编          20</w:t>
      </w:r>
      <w:r>
        <w:rPr>
          <w:rFonts w:hint="eastAsia" w:ascii="黑体" w:hAnsi="Times New Roman" w:eastAsia="黑体" w:cs="Times New Roman"/>
          <w:sz w:val="28"/>
          <w:szCs w:val="24"/>
          <w:lang w:val="en-US" w:eastAsia="zh-CN"/>
        </w:rPr>
        <w:t>18</w:t>
      </w:r>
      <w:r>
        <w:rPr>
          <w:rFonts w:hint="eastAsia" w:ascii="黑体" w:hAnsi="Times New Roman" w:eastAsia="黑体" w:cs="Times New Roman"/>
          <w:sz w:val="28"/>
          <w:szCs w:val="24"/>
        </w:rPr>
        <w:t>年</w:t>
      </w:r>
      <w:r>
        <w:rPr>
          <w:rFonts w:ascii="黑体" w:hAnsi="Times New Roman" w:eastAsia="黑体" w:cs="Times New Roman"/>
          <w:sz w:val="28"/>
          <w:szCs w:val="24"/>
        </w:rPr>
        <w:t>12</w:t>
      </w:r>
      <w:r>
        <w:rPr>
          <w:rFonts w:hint="eastAsia" w:ascii="黑体" w:hAnsi="Times New Roman" w:eastAsia="黑体" w:cs="Times New Roman"/>
          <w:sz w:val="28"/>
          <w:szCs w:val="24"/>
        </w:rPr>
        <w:t>月</w:t>
      </w:r>
    </w:p>
    <w:p>
      <w:pPr>
        <w:adjustRightInd w:val="0"/>
        <w:snapToGrid w:val="0"/>
        <w:spacing w:after="249" w:afterLines="80"/>
        <w:rPr>
          <w:rFonts w:ascii="Times New Roman" w:hAnsi="Times New Roman" w:eastAsia="黑体" w:cs="Times New Roman"/>
          <w:b/>
          <w:bCs/>
          <w:color w:val="FF0000"/>
          <w:sz w:val="32"/>
          <w:szCs w:val="24"/>
        </w:rPr>
      </w:pPr>
      <w:r>
        <w:rPr>
          <w:rFonts w:hint="eastAsia" w:ascii="Times New Roman" w:hAnsi="Times New Roman" w:eastAsia="黑体" w:cs="Times New Roman"/>
          <w:b/>
          <w:bCs/>
          <w:color w:val="FF0000"/>
          <w:sz w:val="32"/>
          <w:szCs w:val="24"/>
        </w:rPr>
        <w:t xml:space="preserve">  </w:t>
      </w:r>
    </w:p>
    <w:p>
      <w:pPr>
        <w:adjustRightInd w:val="0"/>
        <w:snapToGrid w:val="0"/>
        <w:spacing w:after="249" w:afterLines="80"/>
        <w:jc w:val="center"/>
        <w:rPr>
          <w:rFonts w:ascii="Times New Roman" w:hAnsi="Times New Roman" w:eastAsia="黑体" w:cs="Times New Roman"/>
          <w:b/>
          <w:bCs/>
          <w:color w:val="000000"/>
          <w:sz w:val="32"/>
          <w:szCs w:val="24"/>
        </w:rPr>
      </w:pPr>
      <w:r>
        <w:rPr>
          <w:rFonts w:hint="eastAsia" w:ascii="Times New Roman" w:hAnsi="Times New Roman" w:eastAsia="黑体" w:cs="Times New Roman"/>
          <w:color w:val="000000"/>
          <w:sz w:val="44"/>
          <w:szCs w:val="24"/>
        </w:rPr>
        <w:t>本期目录</w:t>
      </w:r>
    </w:p>
    <w:p>
      <w:pPr>
        <w:spacing w:after="156" w:afterLines="50"/>
        <w:ind w:firstLine="750" w:firstLineChars="250"/>
        <w:jc w:val="left"/>
        <w:rPr>
          <w:rFonts w:ascii="黑体" w:hAnsi="宋体" w:eastAsia="黑体" w:cs="Times New Roman"/>
          <w:color w:val="000000"/>
          <w:sz w:val="30"/>
          <w:szCs w:val="24"/>
        </w:rPr>
      </w:pPr>
    </w:p>
    <w:p>
      <w:pPr>
        <w:spacing w:after="156" w:afterLines="50"/>
        <w:ind w:firstLine="1500" w:firstLineChars="500"/>
        <w:jc w:val="left"/>
        <w:rPr>
          <w:rFonts w:hint="eastAsia" w:ascii="黑体" w:hAnsi="宋体" w:eastAsia="黑体" w:cs="Times New Roman"/>
          <w:color w:val="000000"/>
          <w:sz w:val="30"/>
          <w:szCs w:val="24"/>
        </w:rPr>
      </w:pPr>
      <w:r>
        <w:rPr>
          <w:rFonts w:hint="eastAsia" w:ascii="黑体" w:hAnsi="宋体" w:eastAsia="黑体" w:cs="Times New Roman"/>
          <w:color w:val="000000"/>
          <w:sz w:val="30"/>
          <w:szCs w:val="24"/>
        </w:rPr>
        <w:t>●成果摘要</w:t>
      </w:r>
    </w:p>
    <w:p>
      <w:pPr>
        <w:spacing w:after="156" w:afterLines="50"/>
        <w:ind w:firstLine="1500" w:firstLineChars="500"/>
        <w:jc w:val="left"/>
        <w:rPr>
          <w:rFonts w:hint="eastAsia" w:ascii="黑体" w:hAnsi="宋体" w:eastAsia="黑体" w:cs="Times New Roman"/>
          <w:color w:val="000000"/>
          <w:sz w:val="30"/>
          <w:szCs w:val="24"/>
        </w:rPr>
      </w:pPr>
    </w:p>
    <w:p>
      <w:pPr>
        <w:spacing w:after="156" w:afterLines="50"/>
        <w:ind w:firstLine="1500" w:firstLineChars="500"/>
        <w:jc w:val="left"/>
        <w:rPr>
          <w:rFonts w:hint="eastAsia" w:ascii="黑体" w:hAnsi="宋体" w:eastAsia="黑体" w:cs="Times New Roman"/>
          <w:color w:val="000000"/>
          <w:sz w:val="30"/>
          <w:szCs w:val="24"/>
        </w:rPr>
      </w:pPr>
      <w:bookmarkStart w:id="0" w:name="_GoBack"/>
      <w:bookmarkEnd w:id="0"/>
    </w:p>
    <w:p>
      <w:pPr>
        <w:spacing w:after="156" w:afterLines="50"/>
        <w:ind w:firstLine="1500" w:firstLineChars="500"/>
        <w:jc w:val="left"/>
        <w:rPr>
          <w:rFonts w:ascii="黑体" w:hAnsi="Times New Roman" w:eastAsia="黑体" w:cs="Times New Roman"/>
          <w:color w:val="000000"/>
          <w:sz w:val="30"/>
          <w:szCs w:val="24"/>
        </w:rPr>
      </w:pPr>
      <w:r>
        <w:rPr>
          <w:rFonts w:hint="eastAsia" w:ascii="黑体" w:hAnsi="宋体" w:eastAsia="黑体" w:cs="Times New Roman"/>
          <w:color w:val="000000"/>
          <w:sz w:val="30"/>
          <w:szCs w:val="24"/>
        </w:rPr>
        <w:t>●转载引用</w:t>
      </w:r>
    </w:p>
    <w:p>
      <w:pPr>
        <w:spacing w:after="156" w:afterLines="50"/>
        <w:ind w:firstLine="1500" w:firstLineChars="500"/>
        <w:jc w:val="left"/>
        <w:rPr>
          <w:rFonts w:ascii="黑体" w:hAnsi="宋体" w:eastAsia="黑体" w:cs="Times New Roman"/>
          <w:color w:val="000000"/>
          <w:sz w:val="30"/>
          <w:szCs w:val="30"/>
        </w:rPr>
      </w:pPr>
    </w:p>
    <w:p>
      <w:pPr>
        <w:spacing w:after="156" w:afterLines="50"/>
        <w:jc w:val="left"/>
        <w:rPr>
          <w:rFonts w:ascii="黑体" w:hAnsi="宋体" w:eastAsia="黑体" w:cs="Times New Roman"/>
          <w:color w:val="000000"/>
          <w:sz w:val="30"/>
          <w:szCs w:val="24"/>
        </w:rPr>
      </w:pPr>
    </w:p>
    <w:p>
      <w:pPr>
        <w:rPr>
          <w:rFonts w:ascii="Times New Roman" w:hAnsi="Times New Roman" w:eastAsia="宋体" w:cs="Times New Roman"/>
          <w:szCs w:val="24"/>
        </w:rPr>
      </w:pPr>
    </w:p>
    <w:p>
      <w:pPr>
        <w:spacing w:line="520" w:lineRule="exact"/>
        <w:rPr>
          <w:rFonts w:hint="eastAsia" w:ascii="宋体" w:hAnsi="宋体" w:eastAsia="宋体" w:cs="Times New Roman"/>
          <w:b/>
          <w:sz w:val="30"/>
          <w:szCs w:val="30"/>
        </w:rPr>
        <w:sectPr>
          <w:headerReference r:id="rId3" w:type="default"/>
          <w:footerReference r:id="rId4" w:type="even"/>
          <w:pgSz w:w="11907" w:h="16840"/>
          <w:pgMar w:top="1440" w:right="1559" w:bottom="1440" w:left="1622" w:header="851" w:footer="992" w:gutter="0"/>
          <w:cols w:space="720" w:num="1"/>
          <w:docGrid w:type="lines" w:linePitch="312" w:charSpace="0"/>
        </w:sectPr>
      </w:pPr>
    </w:p>
    <w:tbl>
      <w:tblPr>
        <w:tblStyle w:val="7"/>
        <w:tblpPr w:leftFromText="180" w:rightFromText="180" w:vertAnchor="text" w:horzAnchor="margin" w:tblpY="200"/>
        <w:tblW w:w="0" w:type="auto"/>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520" w:lineRule="exact"/>
              <w:jc w:val="center"/>
              <w:rPr>
                <w:rFonts w:hint="eastAsia" w:ascii="宋体" w:hAnsi="宋体" w:eastAsia="宋体" w:cs="Times New Roman"/>
                <w:b/>
                <w:sz w:val="30"/>
                <w:szCs w:val="30"/>
              </w:rPr>
            </w:pPr>
            <w:r>
              <w:rPr>
                <w:rFonts w:hint="eastAsia" w:ascii="宋体" w:hAnsi="宋体" w:eastAsia="宋体" w:cs="Times New Roman"/>
                <w:b/>
                <w:sz w:val="30"/>
                <w:szCs w:val="30"/>
              </w:rPr>
              <w:t>成果摘要</w:t>
            </w:r>
          </w:p>
        </w:tc>
      </w:tr>
    </w:tbl>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彼得斯分析教育哲学思想述评——基于《伦理学与教育》文本的分析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朱镜人</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彼得斯撰写《伦理学和教育》的原因有三,其一,分析哲学的发展为教育哲学提供了方法论基础;第二,出自教育哲学发展的需要;其三,分析制约教育实践问题的原理。这本著作有4个特点:其一,从性质看,它是一本作为教育哲学导论教材使用的哲学著作;其二,从研究内容看,这本书研究的问题大致勾勒了教育哲学研究的框架,为教育哲学的进一步研究提供了基础;其三,从研究方法看,这本书采用的是典型的分析哲学的方法,即重视语言分析;其四,尽管这本书的目的不是为教育实际问题提供解决的方案,但提出的一些重要的教育观点对解决实际教育问题富有启发性,如教育过程有三个标准,教育的任务在于引导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1"/>
          <w:szCs w:val="21"/>
        </w:rPr>
      </w:pPr>
      <w:r>
        <w:rPr>
          <w:rFonts w:hint="eastAsia" w:ascii="宋体" w:hAnsi="宋体" w:eastAsia="宋体" w:cs="宋体"/>
          <w:b w:val="0"/>
          <w:bCs w:val="0"/>
          <w:i w:val="0"/>
          <w:iCs w:val="0"/>
          <w:caps w:val="0"/>
          <w:color w:val="666666"/>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ascii="微软雅黑" w:hAnsi="微软雅黑" w:eastAsia="微软雅黑" w:cs="微软雅黑"/>
          <w:b w:val="0"/>
          <w:bCs w:val="0"/>
          <w:color w:val="333333"/>
          <w:sz w:val="36"/>
          <w:szCs w:val="36"/>
        </w:rPr>
      </w:pPr>
      <w:r>
        <w:rPr>
          <w:rFonts w:hint="eastAsia" w:ascii="宋体" w:hAnsi="宋体" w:eastAsia="宋体" w:cs="宋体"/>
          <w:b/>
          <w:bCs/>
          <w:i w:val="0"/>
          <w:iCs w:val="0"/>
          <w:caps w:val="0"/>
          <w:color w:val="333333"/>
          <w:spacing w:val="0"/>
          <w:sz w:val="28"/>
          <w:szCs w:val="28"/>
          <w:shd w:val="clear" w:fill="FFFFFF"/>
        </w:rPr>
        <w:t>现代大学通识教育的特征和发展趋势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朱镜人</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现代大学通识教育在其发展进程中显现出三个特征:一是目的的多元性,即要求通识教育培养现代公民,帮助学生养成理性,使学生具有广博的学识和深厚的文化修养;二是课程内容文理交融;三是实行核心课程以及选修课程和必修课程相结合的方法。未来通识教育发展趋势主要有五点表现:其一,受科学技术发展、就业形势的影响以及个人文化修养提升的需要,通识教育将会受到更加广泛的重视;其二,通识教育更加注重"全人"的培养;其三,通识教育的理念将在专业教育中得到越来越多的体现;其四,研读经典依然是通识教育的主要方法之一;其五,通识教育会对任课教师的品德、学问和教学能力提出更高的要求。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高校思政课翻转课堂教学的若干思考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卓爱平</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思政课教学改革引入翻转课堂教学理念,要从课程的特性出发,站在姓"马"的原则立场上,把政治纪律挺在前。思政课教师要做好的"经师"和"人师",就要真信、真学、真教,把"立德树人"、铸魂育人的使命扛在肩。思政课通过建立混合翻转课堂教学模式,延伸思政课课堂教学,增强思政课教学实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ascii="微软雅黑" w:hAnsi="微软雅黑" w:eastAsia="微软雅黑" w:cs="微软雅黑"/>
          <w:b/>
          <w:bCs/>
          <w:color w:val="333333"/>
          <w:sz w:val="28"/>
          <w:szCs w:val="28"/>
        </w:rPr>
      </w:pPr>
      <w:r>
        <w:rPr>
          <w:rFonts w:hint="eastAsia" w:ascii="宋体" w:hAnsi="宋体" w:eastAsia="宋体" w:cs="宋体"/>
          <w:b/>
          <w:bCs/>
          <w:i w:val="0"/>
          <w:iCs w:val="0"/>
          <w:caps w:val="0"/>
          <w:color w:val="333333"/>
          <w:spacing w:val="0"/>
          <w:sz w:val="28"/>
          <w:szCs w:val="28"/>
          <w:shd w:val="clear" w:fill="FFFFFF"/>
        </w:rPr>
        <w:t>习近平对建设一支不忘初心的人民军队的贡献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卓爱平</w:t>
      </w:r>
      <w:r>
        <w:rPr>
          <w:rFonts w:hint="eastAsia" w:ascii="宋体" w:hAnsi="宋体" w:eastAsia="宋体" w:cs="宋体"/>
          <w:b/>
          <w:bCs/>
          <w:i w:val="0"/>
          <w:iCs w:val="0"/>
          <w:caps w:val="0"/>
          <w:color w:val="auto"/>
          <w:spacing w:val="0"/>
          <w:sz w:val="21"/>
          <w:szCs w:val="21"/>
          <w:u w:val="none"/>
          <w:shd w:val="clear" w:fill="FFFFFF"/>
          <w:lang w:val="en-US" w:eastAsia="zh-CN"/>
        </w:rPr>
        <w:t xml:space="preserve"> </w:t>
      </w:r>
      <w:r>
        <w:rPr>
          <w:rFonts w:hint="eastAsia" w:ascii="宋体" w:hAnsi="宋体" w:eastAsia="宋体" w:cs="宋体"/>
          <w:b/>
          <w:bCs/>
          <w:i w:val="0"/>
          <w:iCs w:val="0"/>
          <w:caps w:val="0"/>
          <w:color w:val="auto"/>
          <w:spacing w:val="0"/>
          <w:sz w:val="21"/>
          <w:szCs w:val="21"/>
          <w:u w:val="none"/>
          <w:shd w:val="clear" w:fill="FFFFFF"/>
        </w:rPr>
        <w:t>刘江</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强军是一场伟大的接力。新时代,习近平回应我国由军事大国向军事强国迈进的时代呼唤,在坚持中国共产党一以贯之的建军治军指导思想和方针原则的基础上,对建设一支什么样的强大人民军队,怎样建设强大人民军队进行深入思考、理论探索和实践创造,创立了习近平强军思想。习近平强军思想提出强军目标并系统地阐明了依靠改革实现强军目标的基本问题,为全面建成世界一流军队提供了总方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安徽省高校创新创业教育提质增效发展对策研究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color w:val="auto"/>
          <w:sz w:val="21"/>
          <w:szCs w:val="21"/>
        </w:rPr>
      </w:pPr>
      <w:r>
        <w:rPr>
          <w:rFonts w:hint="eastAsia" w:ascii="宋体" w:hAnsi="宋体" w:eastAsia="宋体" w:cs="宋体"/>
          <w:b/>
          <w:bCs/>
          <w:i w:val="0"/>
          <w:iCs w:val="0"/>
          <w:caps w:val="0"/>
          <w:color w:val="auto"/>
          <w:spacing w:val="0"/>
          <w:sz w:val="21"/>
          <w:szCs w:val="21"/>
          <w:u w:val="none"/>
          <w:shd w:val="clear" w:fill="FFFFFF"/>
        </w:rPr>
        <w:t>李倩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我省高校创新创业教育存在创新创业教育和其他专业教育割裂、课程体系松散、教学方式单一、外部支持力度不足等诸多问题,本文围绕发展短板,在借鉴主要发达国家思路和做法的基础上,从课程体系、师资队伍、教学方式、外部协同等方面提出可供参考的对策和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对习近平以人民为中心的发展思想的多维解读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赵东云</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十九大报告提出"以人民为中心的发展思想",本文从价值追求、历史底蕴、理论来源、实践基础等等方面进行深入解读。认为这一思想既体现了中国共产党的一贯宗旨,彰显了中华传统文化中的民本思想;其理论源于马克思主义,与党的几代领导核心的人民观一脉相承;践行这一发展思想必须使"人民性"、"新理念"相统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新时代高校思想政治工作面临的挑战与方法回应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霍广田</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高校是西方敌对势力对我进行渗透分化的重点领域,当前高校思想政治工作处于新时代,做好高校思想政治工作要积极认识新时代、适应新时代、引领新时代。习近平总书记在全国高校思想政治工作会议上发表的重要讲话,蕴含着丰富的方法论意蕴,如德育方法、目标导向法、理论教育法、内化-外化法、以文化人法,为解决高校思想政治工作中遇到的实际问题提供了有效的方法"钥匙",有利于增强高校思想政治工作实效性。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通识教育视角下高校管理学科创新型大学生人才培养体系构建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郑妮吴珍梅</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将通识教育巧妙的应用于高校的教育教学之中,有利于全方位的教育和培养学生,使学生逐渐成为优秀的创新型人才。本文通过分析高校通识教育现状,探究了通识教育视角下高校管理学科创新型大学生人才培养体系的构建,提出了高校管理学科培养创新型人才的有效方法和手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美国大学人文教育的嬗变及其对中国大学人文教育的启示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color w:val="auto"/>
          <w:sz w:val="21"/>
          <w:szCs w:val="21"/>
        </w:rPr>
      </w:pPr>
      <w:r>
        <w:rPr>
          <w:rFonts w:hint="eastAsia" w:ascii="宋体" w:hAnsi="宋体" w:eastAsia="宋体" w:cs="宋体"/>
          <w:b/>
          <w:bCs/>
          <w:i w:val="0"/>
          <w:iCs w:val="0"/>
          <w:caps w:val="0"/>
          <w:color w:val="auto"/>
          <w:spacing w:val="0"/>
          <w:sz w:val="21"/>
          <w:szCs w:val="21"/>
          <w:u w:val="none"/>
          <w:shd w:val="clear" w:fill="FFFFFF"/>
        </w:rPr>
        <w:t>杨昕</w:t>
      </w:r>
      <w:r>
        <w:rPr>
          <w:rFonts w:hint="eastAsia" w:cs="宋体"/>
          <w:b/>
          <w:bCs/>
          <w:i w:val="0"/>
          <w:iCs w:val="0"/>
          <w:caps w:val="0"/>
          <w:color w:val="auto"/>
          <w:spacing w:val="0"/>
          <w:sz w:val="21"/>
          <w:szCs w:val="21"/>
          <w:u w:val="none"/>
          <w:shd w:val="clear" w:fill="FFFFFF"/>
          <w:lang w:val="en-US" w:eastAsia="zh-CN"/>
        </w:rPr>
        <w:t xml:space="preserve"> </w:t>
      </w:r>
      <w:r>
        <w:rPr>
          <w:rFonts w:hint="eastAsia" w:ascii="宋体" w:hAnsi="宋体" w:eastAsia="宋体" w:cs="宋体"/>
          <w:b/>
          <w:bCs/>
          <w:i w:val="0"/>
          <w:iCs w:val="0"/>
          <w:caps w:val="0"/>
          <w:color w:val="auto"/>
          <w:spacing w:val="0"/>
          <w:sz w:val="21"/>
          <w:szCs w:val="21"/>
          <w:u w:val="none"/>
          <w:shd w:val="clear" w:fill="FFFFFF"/>
        </w:rPr>
        <w:t>范东生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人文教育是大学本科教育的基础,研究型大学和应用型大学都需要良好的人文教育来培养好的公民。美国大学人文教育的嬗变和自由教育与通识教育理念是相联系的,美国大学普遍重视人文教育,人文课程设置的多样化培养出完整的人和促进人的全面发展。中国大学在文化素质教育的背景下开展人文教育,人文教育和课程设置得到了一定的发展。但是近年来人文教育无论是作为通识教育的一部分,还是作为专业教育本身,在中美高校的实践中都遭遇到各种困境与挑战。通过比较中美高校的人文教育,借鉴通识教育理念和人文教育实践,能够为中国高等教育的改革尤其是人文教育出路提供新的启示与经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val="0"/>
          <w:bCs w:val="0"/>
          <w:i w:val="0"/>
          <w:iCs w:val="0"/>
          <w:caps w:val="0"/>
          <w:color w:val="666666"/>
          <w:spacing w:val="0"/>
          <w:kern w:val="0"/>
          <w:sz w:val="21"/>
          <w:szCs w:val="21"/>
          <w:shd w:val="clear" w:fill="FFFFFF"/>
          <w:lang w:val="en-US" w:eastAsia="zh-CN" w:bidi="ar"/>
        </w:rPr>
        <w:t> </w:t>
      </w:r>
      <w:r>
        <w:rPr>
          <w:rFonts w:hint="eastAsia" w:ascii="宋体" w:hAnsi="宋体" w:eastAsia="宋体" w:cs="宋体"/>
          <w:b/>
          <w:bCs/>
          <w:i w:val="0"/>
          <w:iCs w:val="0"/>
          <w:caps w:val="0"/>
          <w:color w:val="333333"/>
          <w:spacing w:val="0"/>
          <w:sz w:val="28"/>
          <w:szCs w:val="28"/>
          <w:shd w:val="clear" w:fill="FFFFFF"/>
        </w:rPr>
        <w:t>安徽省农民创业保障机制绩效评价及改进建议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郭玉莉</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互联网+"背景下,农民创业是大众创业万众创新的重要力量,也是农民就业增收的重要途径。政府、社会组织等所形成的创业保障机制是农民创业绩效有力支持。安徽省政府出台了一系列的支持农民创业的政策,改善创业环境,完善农民创业的保障机制。课题组在已有研究基础上,从政府、社会组织、农民自身3方面构建安徽省农民创业保障机制绩效评价指标体系,利用层次分析法确定各层次各指标权重,结合对安徽省创业农民进行实地调研和问卷调查数据,对安徽省农民创业保障机制进行综合评价,并提出改进建议,促进农民创业持续发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666666"/>
          <w:spacing w:val="0"/>
          <w:kern w:val="0"/>
          <w:sz w:val="21"/>
          <w:szCs w:val="21"/>
          <w:shd w:val="clear" w:fill="FFFFFF"/>
          <w:lang w:val="en-US" w:eastAsia="zh-CN" w:bidi="ar"/>
        </w:rPr>
      </w:pPr>
    </w:p>
    <w:p/>
    <w:p/>
    <w:tbl>
      <w:tblPr>
        <w:tblStyle w:val="7"/>
        <w:tblpPr w:leftFromText="180" w:rightFromText="180" w:vertAnchor="text" w:horzAnchor="page" w:tblpX="1884" w:tblpY="81"/>
        <w:tblW w:w="0" w:type="auto"/>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vAlign w:val="center"/>
          </w:tcPr>
          <w:p>
            <w:pPr>
              <w:spacing w:line="520" w:lineRule="exact"/>
              <w:jc w:val="center"/>
              <w:rPr>
                <w:rFonts w:ascii="宋体" w:hAnsi="宋体" w:eastAsia="宋体" w:cs="Times New Roman"/>
                <w:b/>
                <w:sz w:val="30"/>
                <w:szCs w:val="30"/>
              </w:rPr>
            </w:pPr>
            <w:r>
              <w:rPr>
                <w:rFonts w:hint="eastAsia" w:ascii="宋体" w:hAnsi="宋体" w:eastAsia="宋体" w:cs="Times New Roman"/>
                <w:b/>
                <w:sz w:val="30"/>
                <w:szCs w:val="30"/>
              </w:rPr>
              <w:t>转载引用</w:t>
            </w:r>
          </w:p>
        </w:tc>
      </w:tr>
    </w:tbl>
    <w:p/>
    <w:p/>
    <w:p/>
    <w:p/>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eastAsia" w:ascii="宋体" w:hAnsi="宋体" w:eastAsia="宋体" w:cs="宋体"/>
          <w:b w:val="0"/>
          <w:bCs w:val="0"/>
          <w:color w:val="333333"/>
          <w:sz w:val="28"/>
          <w:szCs w:val="28"/>
          <w:lang w:val="en-US" w:eastAsia="zh-CN"/>
        </w:rPr>
      </w:pPr>
      <w:r>
        <w:rPr>
          <w:rFonts w:hint="eastAsia" w:ascii="宋体" w:hAnsi="宋体" w:eastAsia="宋体" w:cs="宋体"/>
          <w:b w:val="0"/>
          <w:bCs w:val="0"/>
          <w:i w:val="0"/>
          <w:iCs w:val="0"/>
          <w:caps w:val="0"/>
          <w:color w:val="333333"/>
          <w:spacing w:val="0"/>
          <w:sz w:val="28"/>
          <w:szCs w:val="28"/>
          <w:shd w:val="clear" w:fill="FFFFFF"/>
          <w:lang w:val="en-US" w:eastAsia="zh-CN"/>
        </w:rPr>
        <w:t>朱镜人论文：“</w:t>
      </w:r>
      <w:r>
        <w:rPr>
          <w:rFonts w:hint="eastAsia" w:ascii="宋体" w:hAnsi="宋体" w:eastAsia="宋体" w:cs="宋体"/>
          <w:b w:val="0"/>
          <w:bCs w:val="0"/>
          <w:i w:val="0"/>
          <w:iCs w:val="0"/>
          <w:caps w:val="0"/>
          <w:color w:val="333333"/>
          <w:spacing w:val="0"/>
          <w:sz w:val="28"/>
          <w:szCs w:val="28"/>
          <w:shd w:val="clear" w:fill="FFFFFF"/>
        </w:rPr>
        <w:t>彼得斯分析教育哲学思想述评——基于《伦理学与教育》文本的分析</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b w:val="0"/>
          <w:bCs w:val="0"/>
          <w:i w:val="0"/>
          <w:iCs w:val="0"/>
          <w:caps w:val="0"/>
          <w:color w:val="333333"/>
          <w:spacing w:val="0"/>
          <w:sz w:val="28"/>
          <w:szCs w:val="28"/>
          <w:shd w:val="clear" w:fill="FFFFFF"/>
          <w:lang w:val="en-US" w:eastAsia="zh-CN"/>
        </w:rPr>
        <w:t>引用1次。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val="0"/>
          <w:bCs w:val="0"/>
          <w:i w:val="0"/>
          <w:iCs w:val="0"/>
          <w:caps w:val="0"/>
          <w:color w:val="333333"/>
          <w:spacing w:val="0"/>
          <w:sz w:val="28"/>
          <w:szCs w:val="28"/>
          <w:shd w:val="clear" w:fill="FFFFFF"/>
          <w:lang w:val="en-US" w:eastAsia="zh-CN"/>
        </w:rPr>
      </w:pPr>
      <w:r>
        <w:rPr>
          <w:rFonts w:hint="eastAsia" w:cs="宋体"/>
          <w:b w:val="0"/>
          <w:bCs w:val="0"/>
          <w:i w:val="0"/>
          <w:iCs w:val="0"/>
          <w:caps w:val="0"/>
          <w:color w:val="333333"/>
          <w:spacing w:val="0"/>
          <w:sz w:val="28"/>
          <w:szCs w:val="28"/>
          <w:shd w:val="clear" w:fill="FFFFFF"/>
          <w:lang w:val="en-US" w:eastAsia="zh-CN"/>
        </w:rPr>
        <w:t>2.</w:t>
      </w:r>
      <w:r>
        <w:rPr>
          <w:rFonts w:hint="eastAsia" w:ascii="宋体" w:hAnsi="宋体" w:eastAsia="宋体" w:cs="宋体"/>
          <w:b w:val="0"/>
          <w:bCs w:val="0"/>
          <w:i w:val="0"/>
          <w:iCs w:val="0"/>
          <w:caps w:val="0"/>
          <w:color w:val="333333"/>
          <w:spacing w:val="0"/>
          <w:sz w:val="28"/>
          <w:szCs w:val="28"/>
          <w:shd w:val="clear" w:fill="FFFFFF"/>
          <w:lang w:val="en-US" w:eastAsia="zh-CN"/>
        </w:rPr>
        <w:t>朱镜人论文：“</w:t>
      </w:r>
      <w:r>
        <w:rPr>
          <w:rFonts w:hint="eastAsia" w:ascii="宋体" w:hAnsi="宋体" w:eastAsia="宋体" w:cs="宋体"/>
          <w:b w:val="0"/>
          <w:bCs w:val="0"/>
          <w:i w:val="0"/>
          <w:iCs w:val="0"/>
          <w:caps w:val="0"/>
          <w:color w:val="333333"/>
          <w:spacing w:val="0"/>
          <w:sz w:val="28"/>
          <w:szCs w:val="28"/>
          <w:shd w:val="clear" w:fill="FFFFFF"/>
        </w:rPr>
        <w:t>现代大学通识教育的特征和发展趋势</w:t>
      </w:r>
      <w:r>
        <w:rPr>
          <w:rFonts w:hint="eastAsia" w:ascii="宋体" w:hAnsi="宋体" w:eastAsia="宋体" w:cs="宋体"/>
          <w:b w:val="0"/>
          <w:bCs w:val="0"/>
          <w:i w:val="0"/>
          <w:iCs w:val="0"/>
          <w:caps w:val="0"/>
          <w:color w:val="333333"/>
          <w:spacing w:val="0"/>
          <w:sz w:val="28"/>
          <w:szCs w:val="28"/>
          <w:shd w:val="clear" w:fill="FFFFFF"/>
          <w:lang w:eastAsia="zh-CN"/>
        </w:rPr>
        <w:t>”</w:t>
      </w:r>
      <w:r>
        <w:rPr>
          <w:rFonts w:hint="eastAsia" w:ascii="宋体" w:hAnsi="宋体" w:eastAsia="宋体" w:cs="宋体"/>
          <w:b w:val="0"/>
          <w:bCs w:val="0"/>
          <w:i w:val="0"/>
          <w:iCs w:val="0"/>
          <w:caps w:val="0"/>
          <w:color w:val="333333"/>
          <w:spacing w:val="0"/>
          <w:sz w:val="28"/>
          <w:szCs w:val="28"/>
          <w:shd w:val="clear" w:fill="FFFFFF"/>
          <w:lang w:val="en-US" w:eastAsia="zh-CN"/>
        </w:rPr>
        <w:t>引用21次。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eastAsia" w:cs="宋体"/>
          <w:b w:val="0"/>
          <w:bCs w:val="0"/>
          <w:i w:val="0"/>
          <w:iCs w:val="0"/>
          <w:caps w:val="0"/>
          <w:color w:val="333333"/>
          <w:spacing w:val="0"/>
          <w:sz w:val="28"/>
          <w:szCs w:val="28"/>
          <w:shd w:val="clear" w:fill="FFFFFF"/>
          <w:lang w:val="en-US" w:eastAsia="zh-CN"/>
        </w:rPr>
      </w:pPr>
      <w:r>
        <w:rPr>
          <w:rFonts w:hint="eastAsia" w:cs="宋体"/>
          <w:b w:val="0"/>
          <w:bCs w:val="0"/>
          <w:i w:val="0"/>
          <w:iCs w:val="0"/>
          <w:caps w:val="0"/>
          <w:color w:val="333333"/>
          <w:spacing w:val="0"/>
          <w:sz w:val="28"/>
          <w:szCs w:val="28"/>
          <w:shd w:val="clear" w:fill="FFFFFF"/>
          <w:lang w:val="en-US" w:eastAsia="zh-CN"/>
        </w:rPr>
        <w:t>3.卓爱平论文：“</w:t>
      </w:r>
      <w:r>
        <w:rPr>
          <w:rFonts w:hint="eastAsia" w:ascii="宋体" w:hAnsi="宋体" w:eastAsia="宋体" w:cs="宋体"/>
          <w:b w:val="0"/>
          <w:bCs w:val="0"/>
          <w:i w:val="0"/>
          <w:iCs w:val="0"/>
          <w:caps w:val="0"/>
          <w:color w:val="333333"/>
          <w:spacing w:val="0"/>
          <w:sz w:val="28"/>
          <w:szCs w:val="28"/>
          <w:shd w:val="clear" w:fill="FFFFFF"/>
        </w:rPr>
        <w:t>高校思政课翻转课堂教学的若干思考</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引用10次。4.赵东云论文：“</w:t>
      </w:r>
      <w:r>
        <w:rPr>
          <w:rFonts w:hint="eastAsia" w:ascii="宋体" w:hAnsi="宋体" w:eastAsia="宋体" w:cs="宋体"/>
          <w:b w:val="0"/>
          <w:bCs w:val="0"/>
          <w:i w:val="0"/>
          <w:iCs w:val="0"/>
          <w:caps w:val="0"/>
          <w:color w:val="333333"/>
          <w:spacing w:val="0"/>
          <w:sz w:val="28"/>
          <w:szCs w:val="28"/>
          <w:shd w:val="clear" w:fill="FFFFFF"/>
        </w:rPr>
        <w:t>对习近平以人民为中心的发展思想的多维解读</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引用11次。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eastAsia" w:cs="宋体"/>
          <w:b w:val="0"/>
          <w:bCs w:val="0"/>
          <w:i w:val="0"/>
          <w:iCs w:val="0"/>
          <w:caps w:val="0"/>
          <w:color w:val="333333"/>
          <w:spacing w:val="0"/>
          <w:sz w:val="28"/>
          <w:szCs w:val="28"/>
          <w:shd w:val="clear" w:fill="FFFFFF"/>
          <w:lang w:val="en-US" w:eastAsia="zh-CN"/>
        </w:rPr>
      </w:pPr>
      <w:r>
        <w:rPr>
          <w:rFonts w:hint="eastAsia" w:cs="宋体"/>
          <w:b w:val="0"/>
          <w:bCs w:val="0"/>
          <w:i w:val="0"/>
          <w:iCs w:val="0"/>
          <w:caps w:val="0"/>
          <w:color w:val="333333"/>
          <w:spacing w:val="0"/>
          <w:sz w:val="28"/>
          <w:szCs w:val="28"/>
          <w:shd w:val="clear" w:fill="FFFFFF"/>
          <w:lang w:val="en-US" w:eastAsia="zh-CN"/>
        </w:rPr>
        <w:t>5.霍广田论文：“</w:t>
      </w:r>
      <w:r>
        <w:rPr>
          <w:rFonts w:hint="eastAsia" w:ascii="宋体" w:hAnsi="宋体" w:eastAsia="宋体" w:cs="宋体"/>
          <w:b w:val="0"/>
          <w:bCs w:val="0"/>
          <w:i w:val="0"/>
          <w:iCs w:val="0"/>
          <w:caps w:val="0"/>
          <w:color w:val="333333"/>
          <w:spacing w:val="0"/>
          <w:sz w:val="28"/>
          <w:szCs w:val="28"/>
          <w:shd w:val="clear" w:fill="FFFFFF"/>
        </w:rPr>
        <w:t>新时代高校思想政治工作面临的挑战与方法回应</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eastAsia" w:cs="宋体"/>
          <w:b w:val="0"/>
          <w:bCs w:val="0"/>
          <w:i w:val="0"/>
          <w:iCs w:val="0"/>
          <w:caps w:val="0"/>
          <w:color w:val="333333"/>
          <w:spacing w:val="0"/>
          <w:sz w:val="28"/>
          <w:szCs w:val="28"/>
          <w:shd w:val="clear" w:fill="FFFFFF"/>
          <w:lang w:val="en-US" w:eastAsia="zh-CN"/>
        </w:rPr>
      </w:pPr>
      <w:r>
        <w:rPr>
          <w:rFonts w:hint="eastAsia" w:cs="宋体"/>
          <w:b w:val="0"/>
          <w:bCs w:val="0"/>
          <w:i w:val="0"/>
          <w:iCs w:val="0"/>
          <w:caps w:val="0"/>
          <w:color w:val="333333"/>
          <w:spacing w:val="0"/>
          <w:sz w:val="28"/>
          <w:szCs w:val="28"/>
          <w:shd w:val="clear" w:fill="FFFFFF"/>
          <w:lang w:val="en-US" w:eastAsia="zh-CN"/>
        </w:rPr>
        <w:t>6.郑妮论文：“</w:t>
      </w:r>
      <w:r>
        <w:rPr>
          <w:rFonts w:hint="eastAsia" w:ascii="宋体" w:hAnsi="宋体" w:eastAsia="宋体" w:cs="宋体"/>
          <w:b w:val="0"/>
          <w:bCs w:val="0"/>
          <w:i w:val="0"/>
          <w:iCs w:val="0"/>
          <w:caps w:val="0"/>
          <w:color w:val="333333"/>
          <w:spacing w:val="0"/>
          <w:sz w:val="28"/>
          <w:szCs w:val="28"/>
          <w:shd w:val="clear" w:fill="FFFFFF"/>
        </w:rPr>
        <w:t>通识教育视角下高校管理学科创新型大学生人才培养体系构建</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r>
        <w:rPr>
          <w:rFonts w:hint="eastAsia" w:cs="宋体"/>
          <w:b w:val="0"/>
          <w:bCs w:val="0"/>
          <w:i w:val="0"/>
          <w:iCs w:val="0"/>
          <w:caps w:val="0"/>
          <w:color w:val="333333"/>
          <w:spacing w:val="0"/>
          <w:sz w:val="28"/>
          <w:szCs w:val="28"/>
          <w:shd w:val="clear" w:fill="FFFFFF"/>
          <w:lang w:val="en-US" w:eastAsia="zh-CN"/>
        </w:rPr>
        <w:t>7.郭玉莉论文：“</w:t>
      </w:r>
      <w:r>
        <w:rPr>
          <w:rFonts w:hint="eastAsia" w:ascii="宋体" w:hAnsi="宋体" w:eastAsia="宋体" w:cs="宋体"/>
          <w:b w:val="0"/>
          <w:bCs w:val="0"/>
          <w:i w:val="0"/>
          <w:iCs w:val="0"/>
          <w:caps w:val="0"/>
          <w:color w:val="333333"/>
          <w:spacing w:val="0"/>
          <w:sz w:val="28"/>
          <w:szCs w:val="28"/>
          <w:shd w:val="clear" w:fill="FFFFFF"/>
        </w:rPr>
        <w:t>安徽省农民创业保障机制绩效评价及改进建议</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p>
    <w:p>
      <w:pPr>
        <w:rPr>
          <w:rFonts w:hint="default" w:ascii="宋体" w:hAnsi="宋体" w:eastAsia="宋体" w:cs="宋体"/>
          <w:b w:val="0"/>
          <w:bCs w:val="0"/>
          <w:color w:val="333333"/>
          <w:sz w:val="28"/>
          <w:szCs w:val="28"/>
          <w:lang w:val="en-US" w:eastAsia="zh-CN"/>
        </w:rPr>
      </w:pPr>
    </w:p>
    <w:p>
      <w:pPr>
        <w:rPr>
          <w:rFonts w:hint="default" w:ascii="宋体" w:hAnsi="宋体" w:eastAsia="宋体" w:cs="宋体"/>
          <w:b w:val="0"/>
          <w:bCs w:val="0"/>
          <w:color w:val="333333"/>
          <w:sz w:val="28"/>
          <w:szCs w:val="28"/>
          <w:lang w:val="en-US" w:eastAsia="zh-CN"/>
        </w:rPr>
      </w:pPr>
    </w:p>
    <w:p>
      <w:pPr>
        <w:rPr>
          <w:rFonts w:hint="default" w:ascii="宋体" w:hAnsi="宋体" w:eastAsia="宋体" w:cs="宋体"/>
          <w:b w:val="0"/>
          <w:bCs w:val="0"/>
          <w:color w:val="333333"/>
          <w:sz w:val="28"/>
          <w:szCs w:val="28"/>
          <w:lang w:val="en-US" w:eastAsia="zh-CN"/>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B9157"/>
    <w:multiLevelType w:val="singleLevel"/>
    <w:tmpl w:val="F1AB915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27917"/>
    <w:rsid w:val="2B6626BD"/>
    <w:rsid w:val="34D1549B"/>
    <w:rsid w:val="418105E0"/>
    <w:rsid w:val="42827917"/>
    <w:rsid w:val="54741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2021-11-25T11:19:00Z</dcterms:created>
  <dc:creator>Lenovo</dc:creator>
  <cp:lastModifiedBy>林斗秀</cp:lastModifiedBy>
  <dcterms:modified xsi:type="dcterms:W3CDTF">2022-02-15T02:04:37Z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7C46C464E4164D529464D15D3338F3B9</vt:lpwstr>
  </property>
</Properties>
</file>